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91E8" w14:textId="77777777" w:rsidR="009C46F5" w:rsidRDefault="009C46F5" w:rsidP="009C14DC">
      <w:pPr>
        <w:ind w:left="1440"/>
        <w:rPr>
          <w:rFonts w:ascii="Verdana" w:hAnsi="Verdana"/>
          <w:b/>
        </w:rPr>
      </w:pPr>
      <w:r>
        <w:rPr>
          <w:noProof/>
        </w:rPr>
        <w:drawing>
          <wp:anchor distT="0" distB="0" distL="114300" distR="114300" simplePos="0" relativeHeight="251658240" behindDoc="1" locked="0" layoutInCell="1" allowOverlap="1" wp14:anchorId="5436F86E" wp14:editId="5BE56A5A">
            <wp:simplePos x="0" y="0"/>
            <wp:positionH relativeFrom="column">
              <wp:posOffset>-240030</wp:posOffset>
            </wp:positionH>
            <wp:positionV relativeFrom="paragraph">
              <wp:posOffset>7620</wp:posOffset>
            </wp:positionV>
            <wp:extent cx="1061085" cy="699135"/>
            <wp:effectExtent l="0" t="0" r="5715" b="5715"/>
            <wp:wrapThrough wrapText="bothSides">
              <wp:wrapPolygon edited="0">
                <wp:start x="9695" y="0"/>
                <wp:lineTo x="0" y="8240"/>
                <wp:lineTo x="0" y="21188"/>
                <wp:lineTo x="21329" y="21188"/>
                <wp:lineTo x="21329" y="7651"/>
                <wp:lineTo x="11634" y="0"/>
                <wp:lineTo x="9695" y="0"/>
              </wp:wrapPolygon>
            </wp:wrapThrough>
            <wp:docPr id="1" name="Picture 1" descr="https://upload.wikimedia.org/wikipedia/en/thumb/e/e3/GMU_logo.svg/1280px-GMU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e/e3/GMU_logo.svg/1280px-GMU_logo.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08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86100" w14:textId="77777777" w:rsidR="009C14DC" w:rsidRDefault="009C14DC" w:rsidP="009C14DC">
      <w:pPr>
        <w:ind w:left="1440"/>
        <w:rPr>
          <w:rFonts w:ascii="Verdana" w:hAnsi="Verdana"/>
          <w:b/>
        </w:rPr>
      </w:pPr>
      <w:r w:rsidRPr="009C14DC">
        <w:rPr>
          <w:rFonts w:ascii="Verdana" w:hAnsi="Verdana"/>
          <w:b/>
        </w:rPr>
        <w:t xml:space="preserve">Syllabus: Research Methods in Human Factors and Applied </w:t>
      </w:r>
      <w:r w:rsidR="00C411BB" w:rsidRPr="009C14DC">
        <w:rPr>
          <w:rFonts w:ascii="Verdana" w:hAnsi="Verdana"/>
          <w:b/>
        </w:rPr>
        <w:t>Cognition (</w:t>
      </w:r>
      <w:r w:rsidRPr="009C14DC">
        <w:rPr>
          <w:rFonts w:ascii="Verdana" w:hAnsi="Verdana"/>
          <w:b/>
        </w:rPr>
        <w:t>PSYC 645)</w:t>
      </w:r>
    </w:p>
    <w:p w14:paraId="190E103F" w14:textId="77777777" w:rsidR="009C14DC" w:rsidRDefault="009C14DC" w:rsidP="009C14DC">
      <w:pPr>
        <w:tabs>
          <w:tab w:val="left" w:pos="-450"/>
        </w:tabs>
        <w:spacing w:after="0"/>
        <w:ind w:left="-450"/>
        <w:rPr>
          <w:rFonts w:ascii="Verdana" w:hAnsi="Verdana"/>
          <w:b/>
          <w:sz w:val="20"/>
          <w:szCs w:val="20"/>
        </w:rPr>
      </w:pPr>
      <w:r w:rsidRPr="009C14DC">
        <w:rPr>
          <w:rFonts w:ascii="Verdana" w:hAnsi="Verdana"/>
          <w:b/>
          <w:sz w:val="20"/>
          <w:szCs w:val="20"/>
        </w:rPr>
        <w:t xml:space="preserve">Meeting time: </w:t>
      </w:r>
      <w:r w:rsidRPr="00A77EC2">
        <w:rPr>
          <w:rFonts w:ascii="Verdana" w:hAnsi="Verdana"/>
          <w:sz w:val="20"/>
          <w:szCs w:val="20"/>
        </w:rPr>
        <w:t>Wednesday 5:30 – 8:</w:t>
      </w:r>
      <w:r w:rsidR="005D3ACB">
        <w:rPr>
          <w:rFonts w:ascii="Verdana" w:hAnsi="Verdana"/>
          <w:sz w:val="20"/>
          <w:szCs w:val="20"/>
        </w:rPr>
        <w:t>1</w:t>
      </w:r>
      <w:r w:rsidRPr="00A77EC2">
        <w:rPr>
          <w:rFonts w:ascii="Verdana" w:hAnsi="Verdana"/>
          <w:sz w:val="20"/>
          <w:szCs w:val="20"/>
        </w:rPr>
        <w:t>0 p.m., Spring 20</w:t>
      </w:r>
      <w:r w:rsidR="009F6F8E">
        <w:rPr>
          <w:rFonts w:ascii="Verdana" w:hAnsi="Verdana"/>
          <w:sz w:val="20"/>
          <w:szCs w:val="20"/>
        </w:rPr>
        <w:t>20</w:t>
      </w:r>
    </w:p>
    <w:p w14:paraId="4B921328" w14:textId="77777777" w:rsidR="001C5FDE" w:rsidRDefault="001C5FDE" w:rsidP="001C5FDE">
      <w:pPr>
        <w:tabs>
          <w:tab w:val="left" w:pos="-450"/>
        </w:tabs>
        <w:spacing w:after="0"/>
        <w:ind w:left="-450"/>
        <w:rPr>
          <w:rFonts w:ascii="Verdana" w:hAnsi="Verdana"/>
          <w:b/>
          <w:sz w:val="20"/>
          <w:szCs w:val="20"/>
        </w:rPr>
      </w:pPr>
    </w:p>
    <w:p w14:paraId="3DF5D04E" w14:textId="7A450092" w:rsidR="009C14DC" w:rsidRDefault="009C14DC" w:rsidP="009C14DC">
      <w:pPr>
        <w:tabs>
          <w:tab w:val="left" w:pos="-450"/>
        </w:tabs>
        <w:ind w:left="-450"/>
        <w:rPr>
          <w:rFonts w:ascii="Verdana" w:hAnsi="Verdana"/>
          <w:b/>
          <w:sz w:val="20"/>
          <w:szCs w:val="20"/>
        </w:rPr>
      </w:pPr>
      <w:r>
        <w:rPr>
          <w:rFonts w:ascii="Verdana" w:hAnsi="Verdana"/>
          <w:b/>
          <w:sz w:val="20"/>
          <w:szCs w:val="20"/>
        </w:rPr>
        <w:t xml:space="preserve">Meeting place: </w:t>
      </w:r>
      <w:r w:rsidR="00B374E0">
        <w:rPr>
          <w:rFonts w:ascii="Verdana" w:hAnsi="Verdana"/>
          <w:sz w:val="20"/>
          <w:szCs w:val="20"/>
        </w:rPr>
        <w:t>Online</w:t>
      </w:r>
    </w:p>
    <w:p w14:paraId="1A4513F5" w14:textId="77777777" w:rsidR="009C14DC" w:rsidRPr="009C14DC" w:rsidRDefault="009C14DC" w:rsidP="009C14DC">
      <w:pPr>
        <w:tabs>
          <w:tab w:val="left" w:pos="-450"/>
        </w:tabs>
        <w:spacing w:after="0"/>
        <w:ind w:left="-450"/>
        <w:rPr>
          <w:rFonts w:ascii="Verdana" w:hAnsi="Verdana"/>
          <w:sz w:val="20"/>
          <w:szCs w:val="20"/>
        </w:rPr>
      </w:pPr>
      <w:r w:rsidRPr="009C14DC">
        <w:rPr>
          <w:rFonts w:ascii="Verdana" w:hAnsi="Verdana"/>
          <w:b/>
          <w:sz w:val="20"/>
          <w:szCs w:val="20"/>
        </w:rPr>
        <w:t xml:space="preserve">Instructor: </w:t>
      </w:r>
      <w:r w:rsidRPr="009C14DC">
        <w:rPr>
          <w:rFonts w:ascii="Verdana" w:hAnsi="Verdana"/>
          <w:sz w:val="20"/>
          <w:szCs w:val="20"/>
        </w:rPr>
        <w:t>Susanne Furman, PhD</w:t>
      </w:r>
    </w:p>
    <w:p w14:paraId="671B6CC0" w14:textId="77777777" w:rsidR="009C14DC" w:rsidRDefault="009C14DC" w:rsidP="009C14DC">
      <w:pPr>
        <w:tabs>
          <w:tab w:val="left" w:pos="-450"/>
        </w:tabs>
        <w:spacing w:after="0"/>
        <w:ind w:left="-450"/>
        <w:rPr>
          <w:rFonts w:ascii="Verdana" w:hAnsi="Verdana"/>
          <w:sz w:val="20"/>
          <w:szCs w:val="20"/>
        </w:rPr>
      </w:pPr>
      <w:r w:rsidRPr="009C14DC">
        <w:rPr>
          <w:rFonts w:ascii="Verdana" w:hAnsi="Verdana"/>
          <w:sz w:val="20"/>
          <w:szCs w:val="20"/>
        </w:rPr>
        <w:t xml:space="preserve">Email: </w:t>
      </w:r>
      <w:hyperlink r:id="rId7" w:history="1">
        <w:r w:rsidRPr="00C14299">
          <w:rPr>
            <w:rStyle w:val="Hyperlink"/>
            <w:rFonts w:ascii="Verdana" w:hAnsi="Verdana"/>
            <w:sz w:val="20"/>
            <w:szCs w:val="20"/>
          </w:rPr>
          <w:t>susannefurman@gmu.edu</w:t>
        </w:r>
      </w:hyperlink>
      <w:r>
        <w:rPr>
          <w:rFonts w:ascii="Verdana" w:hAnsi="Verdana"/>
          <w:sz w:val="20"/>
          <w:szCs w:val="20"/>
        </w:rPr>
        <w:t xml:space="preserve"> or </w:t>
      </w:r>
      <w:hyperlink r:id="rId8" w:history="1">
        <w:r w:rsidRPr="00C14299">
          <w:rPr>
            <w:rStyle w:val="Hyperlink"/>
            <w:rFonts w:ascii="Verdana" w:hAnsi="Verdana"/>
            <w:sz w:val="20"/>
            <w:szCs w:val="20"/>
          </w:rPr>
          <w:t>Susanne.furman@nist.gov</w:t>
        </w:r>
      </w:hyperlink>
    </w:p>
    <w:p w14:paraId="2227FE48" w14:textId="77777777" w:rsidR="009C14DC" w:rsidRDefault="009C14DC" w:rsidP="009C14DC">
      <w:pPr>
        <w:tabs>
          <w:tab w:val="left" w:pos="-450"/>
        </w:tabs>
        <w:spacing w:after="0"/>
        <w:ind w:left="-450"/>
        <w:rPr>
          <w:rFonts w:ascii="Verdana" w:hAnsi="Verdana"/>
          <w:sz w:val="20"/>
          <w:szCs w:val="20"/>
        </w:rPr>
      </w:pPr>
      <w:r>
        <w:rPr>
          <w:rFonts w:ascii="Verdana" w:hAnsi="Verdana"/>
          <w:sz w:val="20"/>
          <w:szCs w:val="20"/>
        </w:rPr>
        <w:t>Office location: Adjunct office</w:t>
      </w:r>
    </w:p>
    <w:p w14:paraId="7352E5A6" w14:textId="77777777" w:rsidR="009C14DC" w:rsidRDefault="009C14DC" w:rsidP="009C14DC">
      <w:pPr>
        <w:tabs>
          <w:tab w:val="left" w:pos="-450"/>
        </w:tabs>
        <w:spacing w:after="0"/>
        <w:ind w:left="-450"/>
        <w:rPr>
          <w:rFonts w:ascii="Verdana" w:hAnsi="Verdana"/>
          <w:sz w:val="20"/>
          <w:szCs w:val="20"/>
        </w:rPr>
      </w:pPr>
      <w:r>
        <w:rPr>
          <w:rFonts w:ascii="Verdana" w:hAnsi="Verdana"/>
          <w:sz w:val="20"/>
          <w:szCs w:val="20"/>
        </w:rPr>
        <w:t xml:space="preserve">Office hours: Wednesdays 5:00 – 5:30, after class or by appointment </w:t>
      </w:r>
    </w:p>
    <w:p w14:paraId="4E40F4CF" w14:textId="288CD2B5" w:rsidR="009C14DC" w:rsidRDefault="009C14DC" w:rsidP="009C14DC">
      <w:pPr>
        <w:tabs>
          <w:tab w:val="left" w:pos="-450"/>
        </w:tabs>
        <w:spacing w:after="0"/>
        <w:ind w:left="-450"/>
        <w:rPr>
          <w:rFonts w:ascii="Verdana" w:hAnsi="Verdana"/>
          <w:sz w:val="20"/>
          <w:szCs w:val="20"/>
        </w:rPr>
      </w:pPr>
      <w:r>
        <w:rPr>
          <w:rFonts w:ascii="Verdana" w:hAnsi="Verdana"/>
          <w:sz w:val="20"/>
          <w:szCs w:val="20"/>
        </w:rPr>
        <w:t xml:space="preserve">Note: email to </w:t>
      </w:r>
      <w:hyperlink r:id="rId9" w:history="1">
        <w:r w:rsidRPr="00C14299">
          <w:rPr>
            <w:rStyle w:val="Hyperlink"/>
            <w:rFonts w:ascii="Verdana" w:hAnsi="Verdana"/>
            <w:sz w:val="20"/>
            <w:szCs w:val="20"/>
          </w:rPr>
          <w:t>Susanne.furman@nist.gov</w:t>
        </w:r>
      </w:hyperlink>
      <w:r>
        <w:rPr>
          <w:rFonts w:ascii="Verdana" w:hAnsi="Verdana"/>
          <w:sz w:val="20"/>
          <w:szCs w:val="20"/>
        </w:rPr>
        <w:t xml:space="preserve"> is the best way to reach me or by calling</w:t>
      </w:r>
      <w:r w:rsidR="009F6F8E">
        <w:rPr>
          <w:rFonts w:ascii="Verdana" w:hAnsi="Verdana"/>
          <w:sz w:val="20"/>
          <w:szCs w:val="20"/>
        </w:rPr>
        <w:t xml:space="preserve"> 703-967-0642</w:t>
      </w:r>
      <w:r w:rsidR="00A92DC7">
        <w:rPr>
          <w:rFonts w:ascii="Verdana" w:hAnsi="Verdana"/>
          <w:sz w:val="20"/>
          <w:szCs w:val="20"/>
        </w:rPr>
        <w:t xml:space="preserve"> during the day. </w:t>
      </w:r>
    </w:p>
    <w:p w14:paraId="2CFC8B6F" w14:textId="77777777" w:rsidR="00066E19" w:rsidRPr="00A77EC2" w:rsidRDefault="00A77EC2" w:rsidP="00A77EC2">
      <w:pPr>
        <w:tabs>
          <w:tab w:val="left" w:pos="-450"/>
        </w:tabs>
        <w:spacing w:after="0"/>
        <w:ind w:left="-450"/>
        <w:jc w:val="center"/>
        <w:rPr>
          <w:rFonts w:ascii="Verdana" w:hAnsi="Verdana"/>
          <w:color w:val="1F497D" w:themeColor="text2"/>
          <w:sz w:val="20"/>
          <w:szCs w:val="20"/>
        </w:rPr>
      </w:pPr>
      <w:r>
        <w:rPr>
          <w:rFonts w:ascii="Verdana" w:hAnsi="Verdana"/>
          <w:color w:val="1F497D" w:themeColor="text2"/>
          <w:sz w:val="20"/>
          <w:szCs w:val="20"/>
        </w:rPr>
        <w:t>___________________________________________________________________________</w:t>
      </w:r>
    </w:p>
    <w:p w14:paraId="6F7DD9D1" w14:textId="77777777" w:rsidR="00A77EC2" w:rsidRDefault="00A77EC2" w:rsidP="009C14DC">
      <w:pPr>
        <w:tabs>
          <w:tab w:val="left" w:pos="-450"/>
        </w:tabs>
        <w:spacing w:after="0"/>
        <w:ind w:left="-450"/>
        <w:rPr>
          <w:rFonts w:ascii="Verdana" w:hAnsi="Verdana"/>
          <w:sz w:val="20"/>
          <w:szCs w:val="20"/>
        </w:rPr>
      </w:pPr>
    </w:p>
    <w:p w14:paraId="4A1A257B" w14:textId="77777777" w:rsidR="009C14DC" w:rsidRPr="00A77EC2" w:rsidRDefault="009C14DC" w:rsidP="009C14DC">
      <w:pPr>
        <w:tabs>
          <w:tab w:val="left" w:pos="-450"/>
        </w:tabs>
        <w:spacing w:after="0"/>
        <w:ind w:left="-450"/>
        <w:rPr>
          <w:rFonts w:ascii="Verdana" w:hAnsi="Verdana"/>
          <w:b/>
        </w:rPr>
      </w:pPr>
      <w:r w:rsidRPr="00A77EC2">
        <w:rPr>
          <w:rFonts w:ascii="Verdana" w:hAnsi="Verdana"/>
          <w:b/>
        </w:rPr>
        <w:t>Course Summary and Objectives</w:t>
      </w:r>
    </w:p>
    <w:p w14:paraId="681CB194" w14:textId="77777777" w:rsidR="00F457B5" w:rsidRDefault="009C14DC" w:rsidP="009C14DC">
      <w:pPr>
        <w:tabs>
          <w:tab w:val="left" w:pos="-450"/>
        </w:tabs>
        <w:spacing w:after="0"/>
        <w:ind w:left="-450"/>
        <w:rPr>
          <w:rFonts w:ascii="Verdana" w:hAnsi="Verdana"/>
          <w:sz w:val="20"/>
          <w:szCs w:val="20"/>
        </w:rPr>
      </w:pPr>
      <w:r>
        <w:rPr>
          <w:rFonts w:ascii="Verdana" w:hAnsi="Verdana"/>
          <w:sz w:val="20"/>
          <w:szCs w:val="20"/>
        </w:rPr>
        <w:t xml:space="preserve">Learning should be fun so the first objective is to make this class fun and engaging. </w:t>
      </w:r>
      <w:r w:rsidR="00F457B5">
        <w:rPr>
          <w:rFonts w:ascii="Verdana" w:hAnsi="Verdana"/>
          <w:sz w:val="20"/>
          <w:szCs w:val="20"/>
        </w:rPr>
        <w:t xml:space="preserve">This course will cover a variety of research methods in Human Factors Engineering. The primary focus will be research in the context of applied human factors interactions with products, work places, and technical systems. By the end of the course you should gain a great appreciation for the role that research plays within the product and system development life cycle. You will gain practical knowledge of the more common research methods used in human factors discipline in applied environments. Through class assignments and projects, students will develop some of the effective skills required to be an effective researcher used both in research and industry settings. </w:t>
      </w:r>
    </w:p>
    <w:p w14:paraId="2FD56910" w14:textId="77777777" w:rsidR="00A77EC2" w:rsidRPr="00A77EC2" w:rsidRDefault="00A77EC2" w:rsidP="00A77EC2">
      <w:pPr>
        <w:tabs>
          <w:tab w:val="left" w:pos="-450"/>
        </w:tabs>
        <w:spacing w:after="0"/>
        <w:ind w:left="-450"/>
        <w:jc w:val="center"/>
        <w:rPr>
          <w:rFonts w:ascii="Verdana" w:hAnsi="Verdana"/>
          <w:color w:val="1F497D" w:themeColor="text2"/>
          <w:sz w:val="20"/>
          <w:szCs w:val="20"/>
        </w:rPr>
      </w:pPr>
      <w:r w:rsidRPr="00A77EC2">
        <w:rPr>
          <w:rFonts w:ascii="Verdana" w:hAnsi="Verdana"/>
          <w:color w:val="1F497D" w:themeColor="text2"/>
          <w:sz w:val="20"/>
          <w:szCs w:val="20"/>
        </w:rPr>
        <w:t>____________________________________________________________________________</w:t>
      </w:r>
    </w:p>
    <w:p w14:paraId="292C4CAD" w14:textId="77777777" w:rsidR="00A77EC2" w:rsidRDefault="00A77EC2" w:rsidP="009C14DC">
      <w:pPr>
        <w:tabs>
          <w:tab w:val="left" w:pos="-450"/>
        </w:tabs>
        <w:spacing w:after="0"/>
        <w:ind w:left="-450"/>
        <w:rPr>
          <w:rFonts w:ascii="Verdana" w:hAnsi="Verdana"/>
          <w:b/>
          <w:sz w:val="20"/>
          <w:szCs w:val="20"/>
        </w:rPr>
      </w:pPr>
    </w:p>
    <w:p w14:paraId="238655BA" w14:textId="77777777" w:rsidR="00A77EC2" w:rsidRPr="00A77EC2" w:rsidRDefault="00A77EC2" w:rsidP="009C14DC">
      <w:pPr>
        <w:tabs>
          <w:tab w:val="left" w:pos="-450"/>
        </w:tabs>
        <w:spacing w:after="0"/>
        <w:ind w:left="-450"/>
        <w:rPr>
          <w:rFonts w:ascii="Verdana" w:hAnsi="Verdana"/>
          <w:b/>
        </w:rPr>
      </w:pPr>
      <w:r w:rsidRPr="00A77EC2">
        <w:rPr>
          <w:rFonts w:ascii="Verdana" w:hAnsi="Verdana"/>
          <w:b/>
        </w:rPr>
        <w:t>Prerequisites</w:t>
      </w:r>
    </w:p>
    <w:p w14:paraId="739381FB" w14:textId="77777777" w:rsidR="00A77EC2" w:rsidRDefault="00A77EC2" w:rsidP="009C14DC">
      <w:pPr>
        <w:tabs>
          <w:tab w:val="left" w:pos="-450"/>
        </w:tabs>
        <w:spacing w:after="0"/>
        <w:ind w:left="-450"/>
        <w:rPr>
          <w:rFonts w:ascii="Verdana" w:hAnsi="Verdana"/>
          <w:b/>
          <w:sz w:val="20"/>
          <w:szCs w:val="20"/>
        </w:rPr>
      </w:pPr>
      <w:r>
        <w:rPr>
          <w:rFonts w:ascii="Verdana" w:hAnsi="Verdana"/>
          <w:sz w:val="20"/>
          <w:szCs w:val="20"/>
        </w:rPr>
        <w:t>Cognitive Engineering (PSYC 530) and Advanced Statistics (PSYC 611) or</w:t>
      </w:r>
      <w:r w:rsidR="00FB3BDE">
        <w:rPr>
          <w:rFonts w:ascii="Verdana" w:hAnsi="Verdana"/>
          <w:sz w:val="20"/>
          <w:szCs w:val="20"/>
        </w:rPr>
        <w:t xml:space="preserve"> permission from the instructor.</w:t>
      </w:r>
    </w:p>
    <w:p w14:paraId="7CEE69F9" w14:textId="77777777" w:rsidR="00A77EC2" w:rsidRPr="00A77EC2" w:rsidRDefault="00A77EC2" w:rsidP="00A77EC2">
      <w:pPr>
        <w:tabs>
          <w:tab w:val="left" w:pos="-450"/>
        </w:tabs>
        <w:spacing w:after="0"/>
        <w:ind w:left="-450"/>
        <w:jc w:val="center"/>
        <w:rPr>
          <w:rFonts w:ascii="Verdana" w:hAnsi="Verdana"/>
          <w:color w:val="1F497D" w:themeColor="text2"/>
          <w:sz w:val="20"/>
          <w:szCs w:val="20"/>
        </w:rPr>
      </w:pPr>
      <w:r w:rsidRPr="00A77EC2">
        <w:rPr>
          <w:rFonts w:ascii="Verdana" w:hAnsi="Verdana"/>
          <w:color w:val="1F497D" w:themeColor="text2"/>
          <w:sz w:val="20"/>
          <w:szCs w:val="20"/>
        </w:rPr>
        <w:t>____________________________________________________________________________</w:t>
      </w:r>
    </w:p>
    <w:p w14:paraId="616475F5" w14:textId="77777777" w:rsidR="00A77EC2" w:rsidRDefault="00A77EC2" w:rsidP="009C14DC">
      <w:pPr>
        <w:tabs>
          <w:tab w:val="left" w:pos="-450"/>
        </w:tabs>
        <w:spacing w:after="0"/>
        <w:ind w:left="-450"/>
        <w:rPr>
          <w:rFonts w:ascii="Verdana" w:hAnsi="Verdana"/>
          <w:b/>
          <w:sz w:val="20"/>
          <w:szCs w:val="20"/>
        </w:rPr>
      </w:pPr>
    </w:p>
    <w:p w14:paraId="660E259F" w14:textId="31987AB0" w:rsidR="00F457B5" w:rsidRDefault="00B374E0" w:rsidP="009C14DC">
      <w:pPr>
        <w:tabs>
          <w:tab w:val="left" w:pos="-450"/>
        </w:tabs>
        <w:spacing w:after="0"/>
        <w:ind w:left="-450"/>
        <w:rPr>
          <w:rFonts w:ascii="Verdana" w:hAnsi="Verdana"/>
          <w:b/>
        </w:rPr>
      </w:pPr>
      <w:r w:rsidRPr="00B374E0">
        <w:drawing>
          <wp:anchor distT="0" distB="0" distL="114300" distR="114300" simplePos="0" relativeHeight="251661312" behindDoc="0" locked="0" layoutInCell="1" allowOverlap="1" wp14:anchorId="21EF31B3" wp14:editId="2302D4E2">
            <wp:simplePos x="0" y="0"/>
            <wp:positionH relativeFrom="column">
              <wp:posOffset>-266700</wp:posOffset>
            </wp:positionH>
            <wp:positionV relativeFrom="paragraph">
              <wp:posOffset>230505</wp:posOffset>
            </wp:positionV>
            <wp:extent cx="695994" cy="981075"/>
            <wp:effectExtent l="0" t="0" r="8890" b="0"/>
            <wp:wrapThrough wrapText="bothSides">
              <wp:wrapPolygon edited="0">
                <wp:start x="0" y="0"/>
                <wp:lineTo x="0" y="20971"/>
                <wp:lineTo x="21285" y="20971"/>
                <wp:lineTo x="2128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994" cy="981075"/>
                    </a:xfrm>
                    <a:prstGeom prst="rect">
                      <a:avLst/>
                    </a:prstGeom>
                  </pic:spPr>
                </pic:pic>
              </a:graphicData>
            </a:graphic>
            <wp14:sizeRelH relativeFrom="page">
              <wp14:pctWidth>0</wp14:pctWidth>
            </wp14:sizeRelH>
            <wp14:sizeRelV relativeFrom="page">
              <wp14:pctHeight>0</wp14:pctHeight>
            </wp14:sizeRelV>
          </wp:anchor>
        </w:drawing>
      </w:r>
      <w:r w:rsidR="00F457B5" w:rsidRPr="00A77EC2">
        <w:rPr>
          <w:rFonts w:ascii="Verdana" w:hAnsi="Verdana"/>
          <w:b/>
        </w:rPr>
        <w:t xml:space="preserve">Required Textbook </w:t>
      </w:r>
    </w:p>
    <w:p w14:paraId="5CCF5DB6" w14:textId="06D8433F" w:rsidR="00B374E0" w:rsidRPr="00B374E0" w:rsidRDefault="00B374E0" w:rsidP="00B374E0">
      <w:pPr>
        <w:tabs>
          <w:tab w:val="left" w:pos="-450"/>
        </w:tabs>
        <w:spacing w:after="0"/>
        <w:ind w:left="-450"/>
        <w:rPr>
          <w:rFonts w:ascii="Verdana" w:hAnsi="Verdana"/>
          <w:sz w:val="20"/>
          <w:szCs w:val="20"/>
        </w:rPr>
      </w:pPr>
      <w:r w:rsidRPr="00B374E0">
        <w:rPr>
          <w:rFonts w:ascii="Verdana" w:hAnsi="Verdana"/>
          <w:sz w:val="20"/>
          <w:szCs w:val="20"/>
        </w:rPr>
        <w:t>Human Factors Methods: A Practical Guide for Engineering and Design 2nd Edition</w:t>
      </w:r>
    </w:p>
    <w:p w14:paraId="0E1F0A5A" w14:textId="56420D1F" w:rsidR="00466FA0" w:rsidRDefault="00B374E0" w:rsidP="00B374E0">
      <w:pPr>
        <w:tabs>
          <w:tab w:val="left" w:pos="-450"/>
        </w:tabs>
        <w:spacing w:after="0"/>
        <w:ind w:left="-450"/>
        <w:rPr>
          <w:rFonts w:ascii="Verdana" w:hAnsi="Verdana"/>
          <w:sz w:val="20"/>
          <w:szCs w:val="20"/>
        </w:rPr>
      </w:pPr>
      <w:r w:rsidRPr="00B374E0">
        <w:rPr>
          <w:rFonts w:ascii="Verdana" w:hAnsi="Verdana"/>
          <w:sz w:val="20"/>
          <w:szCs w:val="20"/>
        </w:rPr>
        <w:t>by Neville A. Stanton (Author), Paul M. Salmon (Author), Laura A. Rafferty (Author), Guy H. Walker (Author), Chris Baber (Author), Daniel P. Jenkins (Author)</w:t>
      </w:r>
    </w:p>
    <w:p w14:paraId="57DCE175" w14:textId="7AB14512" w:rsidR="00466FA0" w:rsidRDefault="00466FA0" w:rsidP="009C14DC">
      <w:pPr>
        <w:tabs>
          <w:tab w:val="left" w:pos="-450"/>
        </w:tabs>
        <w:spacing w:after="0"/>
        <w:ind w:left="-450"/>
        <w:rPr>
          <w:rFonts w:ascii="Verdana" w:hAnsi="Verdana"/>
          <w:sz w:val="20"/>
          <w:szCs w:val="20"/>
        </w:rPr>
      </w:pPr>
    </w:p>
    <w:p w14:paraId="7DB3C8E8" w14:textId="5CCAFC3F" w:rsidR="00B374E0" w:rsidRDefault="00B374E0" w:rsidP="009C14DC">
      <w:pPr>
        <w:tabs>
          <w:tab w:val="left" w:pos="-450"/>
        </w:tabs>
        <w:spacing w:after="0"/>
        <w:ind w:left="-450"/>
        <w:rPr>
          <w:rFonts w:ascii="Verdana" w:hAnsi="Verdana"/>
          <w:sz w:val="20"/>
          <w:szCs w:val="20"/>
        </w:rPr>
      </w:pPr>
    </w:p>
    <w:p w14:paraId="723BE509" w14:textId="7ECE768A" w:rsidR="00B374E0" w:rsidRDefault="00B374E0" w:rsidP="009C14DC">
      <w:pPr>
        <w:tabs>
          <w:tab w:val="left" w:pos="-450"/>
        </w:tabs>
        <w:spacing w:after="0"/>
        <w:ind w:left="-450"/>
        <w:rPr>
          <w:rFonts w:ascii="Verdana" w:hAnsi="Verdana"/>
          <w:sz w:val="20"/>
          <w:szCs w:val="20"/>
        </w:rPr>
      </w:pPr>
    </w:p>
    <w:p w14:paraId="51A6781B" w14:textId="0354DA7F" w:rsidR="00B374E0" w:rsidRDefault="00B374E0" w:rsidP="009C14DC">
      <w:pPr>
        <w:tabs>
          <w:tab w:val="left" w:pos="-450"/>
        </w:tabs>
        <w:spacing w:after="0"/>
        <w:ind w:left="-450"/>
        <w:rPr>
          <w:rFonts w:ascii="Verdana" w:hAnsi="Verdana"/>
          <w:sz w:val="20"/>
          <w:szCs w:val="20"/>
        </w:rPr>
      </w:pPr>
      <w:r>
        <w:rPr>
          <w:noProof/>
        </w:rPr>
        <w:drawing>
          <wp:anchor distT="0" distB="0" distL="114300" distR="114300" simplePos="0" relativeHeight="251660288" behindDoc="0" locked="0" layoutInCell="1" allowOverlap="1" wp14:anchorId="63B11F46" wp14:editId="0A2487A2">
            <wp:simplePos x="0" y="0"/>
            <wp:positionH relativeFrom="column">
              <wp:posOffset>-267335</wp:posOffset>
            </wp:positionH>
            <wp:positionV relativeFrom="paragraph">
              <wp:posOffset>167640</wp:posOffset>
            </wp:positionV>
            <wp:extent cx="771525" cy="969645"/>
            <wp:effectExtent l="0" t="0" r="9525" b="1905"/>
            <wp:wrapThrough wrapText="bothSides">
              <wp:wrapPolygon edited="0">
                <wp:start x="0" y="0"/>
                <wp:lineTo x="0" y="21218"/>
                <wp:lineTo x="21333" y="21218"/>
                <wp:lineTo x="21333" y="0"/>
                <wp:lineTo x="0" y="0"/>
              </wp:wrapPolygon>
            </wp:wrapThrough>
            <wp:docPr id="3" name="Picture 3" descr="Return to produ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product information"/>
                    <pic:cNvPicPr>
                      <a:picLocks noChangeAspect="1" noChangeArrowheads="1"/>
                    </pic:cNvPicPr>
                  </pic:nvPicPr>
                  <pic:blipFill rotWithShape="1">
                    <a:blip r:embed="rId11">
                      <a:extLst>
                        <a:ext uri="{28A0092B-C50C-407E-A947-70E740481C1C}">
                          <a14:useLocalDpi xmlns:a14="http://schemas.microsoft.com/office/drawing/2010/main" val="0"/>
                        </a:ext>
                      </a:extLst>
                    </a:blip>
                    <a:srcRect l="10796" t="7955" r="15909"/>
                    <a:stretch/>
                  </pic:blipFill>
                  <pic:spPr bwMode="auto">
                    <a:xfrm>
                      <a:off x="0" y="0"/>
                      <a:ext cx="771525"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C39FD2" w14:textId="77777777" w:rsidR="00466FA0" w:rsidRDefault="00466FA0" w:rsidP="009C14DC">
      <w:pPr>
        <w:tabs>
          <w:tab w:val="left" w:pos="-450"/>
        </w:tabs>
        <w:spacing w:after="0"/>
        <w:ind w:left="-450"/>
        <w:rPr>
          <w:rFonts w:ascii="Verdana" w:hAnsi="Verdana"/>
          <w:sz w:val="20"/>
          <w:szCs w:val="20"/>
        </w:rPr>
      </w:pPr>
      <w:r>
        <w:rPr>
          <w:rFonts w:ascii="Verdana" w:hAnsi="Verdana"/>
          <w:sz w:val="20"/>
          <w:szCs w:val="20"/>
        </w:rPr>
        <w:t xml:space="preserve">Alistair Cockburn (2000). Writing Effective Use Cases. Addison-Wesley Longman Publishing Co, Inc. Boston, MA USA [you can buy this on Amazon at a </w:t>
      </w:r>
      <w:r w:rsidR="009C46F5">
        <w:rPr>
          <w:rFonts w:ascii="Verdana" w:hAnsi="Verdana"/>
          <w:sz w:val="20"/>
          <w:szCs w:val="20"/>
        </w:rPr>
        <w:t>low</w:t>
      </w:r>
      <w:r>
        <w:rPr>
          <w:rFonts w:ascii="Verdana" w:hAnsi="Verdana"/>
          <w:sz w:val="20"/>
          <w:szCs w:val="20"/>
        </w:rPr>
        <w:t xml:space="preserve"> price]</w:t>
      </w:r>
    </w:p>
    <w:p w14:paraId="77D737E4" w14:textId="77777777" w:rsidR="00466FA0" w:rsidRDefault="00466FA0" w:rsidP="009C14DC">
      <w:pPr>
        <w:tabs>
          <w:tab w:val="left" w:pos="-450"/>
        </w:tabs>
        <w:spacing w:after="0"/>
        <w:ind w:left="-450"/>
        <w:rPr>
          <w:rFonts w:ascii="Verdana" w:hAnsi="Verdana"/>
          <w:sz w:val="20"/>
          <w:szCs w:val="20"/>
        </w:rPr>
      </w:pPr>
    </w:p>
    <w:p w14:paraId="168828BB" w14:textId="77777777" w:rsidR="00466FA0" w:rsidRDefault="00466FA0" w:rsidP="009C14DC">
      <w:pPr>
        <w:tabs>
          <w:tab w:val="left" w:pos="-450"/>
        </w:tabs>
        <w:spacing w:after="0"/>
        <w:ind w:left="-450"/>
        <w:rPr>
          <w:rFonts w:ascii="Verdana" w:hAnsi="Verdana"/>
          <w:sz w:val="20"/>
          <w:szCs w:val="20"/>
        </w:rPr>
      </w:pPr>
    </w:p>
    <w:p w14:paraId="008F4E00" w14:textId="77777777" w:rsidR="009C46F5" w:rsidRDefault="009C46F5" w:rsidP="009C14DC">
      <w:pPr>
        <w:tabs>
          <w:tab w:val="left" w:pos="-450"/>
        </w:tabs>
        <w:spacing w:after="0"/>
        <w:ind w:left="-450"/>
        <w:rPr>
          <w:rFonts w:ascii="Verdana" w:hAnsi="Verdana"/>
          <w:sz w:val="20"/>
          <w:szCs w:val="20"/>
        </w:rPr>
      </w:pPr>
    </w:p>
    <w:p w14:paraId="14B01518" w14:textId="77777777" w:rsidR="00F457B5" w:rsidRPr="00A77EC2" w:rsidRDefault="00F457B5" w:rsidP="009C14DC">
      <w:pPr>
        <w:tabs>
          <w:tab w:val="left" w:pos="-450"/>
        </w:tabs>
        <w:spacing w:after="0"/>
        <w:ind w:left="-450"/>
        <w:rPr>
          <w:rFonts w:ascii="Verdana" w:hAnsi="Verdana"/>
          <w:b/>
          <w:i/>
          <w:sz w:val="20"/>
          <w:szCs w:val="20"/>
        </w:rPr>
      </w:pPr>
    </w:p>
    <w:p w14:paraId="4225EAF3" w14:textId="77777777" w:rsidR="00F457B5" w:rsidRDefault="00F457B5" w:rsidP="009C14DC">
      <w:pPr>
        <w:tabs>
          <w:tab w:val="left" w:pos="-450"/>
        </w:tabs>
        <w:spacing w:after="0"/>
        <w:ind w:left="-450"/>
        <w:rPr>
          <w:rFonts w:ascii="Verdana" w:hAnsi="Verdana"/>
          <w:sz w:val="20"/>
          <w:szCs w:val="20"/>
        </w:rPr>
      </w:pPr>
      <w:r w:rsidRPr="00A77EC2">
        <w:rPr>
          <w:rFonts w:ascii="Verdana" w:hAnsi="Verdana"/>
          <w:b/>
          <w:i/>
          <w:sz w:val="20"/>
          <w:szCs w:val="20"/>
        </w:rPr>
        <w:t>Note:</w:t>
      </w:r>
      <w:r>
        <w:rPr>
          <w:rFonts w:ascii="Verdana" w:hAnsi="Verdana"/>
          <w:sz w:val="20"/>
          <w:szCs w:val="20"/>
        </w:rPr>
        <w:t xml:space="preserve"> Additional readings will be used to supplement the required textbook chapters. Those readings will be distributed to the students prior to the required reading. </w:t>
      </w:r>
    </w:p>
    <w:p w14:paraId="43B33838" w14:textId="77777777" w:rsidR="009C46F5" w:rsidRPr="00A77EC2" w:rsidRDefault="009C46F5" w:rsidP="009C46F5">
      <w:pPr>
        <w:tabs>
          <w:tab w:val="left" w:pos="-450"/>
        </w:tabs>
        <w:spacing w:after="0"/>
        <w:ind w:left="-450"/>
        <w:jc w:val="center"/>
        <w:rPr>
          <w:rFonts w:ascii="Verdana" w:hAnsi="Verdana"/>
          <w:color w:val="1F497D" w:themeColor="text2"/>
          <w:sz w:val="20"/>
          <w:szCs w:val="20"/>
        </w:rPr>
      </w:pPr>
      <w:r w:rsidRPr="00A77EC2">
        <w:rPr>
          <w:rFonts w:ascii="Verdana" w:hAnsi="Verdana"/>
          <w:color w:val="1F497D" w:themeColor="text2"/>
          <w:sz w:val="20"/>
          <w:szCs w:val="20"/>
        </w:rPr>
        <w:t>____________________________________________________________________________</w:t>
      </w:r>
    </w:p>
    <w:p w14:paraId="4D808686" w14:textId="77777777" w:rsidR="009C46F5" w:rsidRDefault="009C46F5" w:rsidP="009C46F5">
      <w:pPr>
        <w:rPr>
          <w:rFonts w:ascii="Verdana" w:hAnsi="Verdana"/>
          <w:b/>
        </w:rPr>
      </w:pPr>
    </w:p>
    <w:p w14:paraId="56B595C6" w14:textId="77777777" w:rsidR="009C46F5" w:rsidRDefault="009C46F5" w:rsidP="009C46F5">
      <w:pPr>
        <w:spacing w:after="0"/>
        <w:ind w:hanging="450"/>
        <w:rPr>
          <w:rFonts w:ascii="Verdana" w:hAnsi="Verdana"/>
          <w:b/>
        </w:rPr>
      </w:pPr>
      <w:r>
        <w:rPr>
          <w:rFonts w:ascii="Verdana" w:hAnsi="Verdana"/>
          <w:b/>
        </w:rPr>
        <w:lastRenderedPageBreak/>
        <w:t>Technology Used for the Course</w:t>
      </w:r>
    </w:p>
    <w:p w14:paraId="0F3FB7A2" w14:textId="77777777" w:rsidR="009C46F5" w:rsidRDefault="009C46F5" w:rsidP="00FB3BDE">
      <w:pPr>
        <w:spacing w:after="0"/>
        <w:ind w:left="-450"/>
        <w:rPr>
          <w:rFonts w:ascii="Verdana" w:hAnsi="Verdana"/>
          <w:sz w:val="20"/>
          <w:szCs w:val="20"/>
        </w:rPr>
      </w:pPr>
      <w:r>
        <w:rPr>
          <w:rFonts w:ascii="Verdana" w:hAnsi="Verdana"/>
          <w:sz w:val="20"/>
          <w:szCs w:val="20"/>
        </w:rPr>
        <w:t xml:space="preserve">Technology uses in this course will be GMU email to students and email to instructor: </w:t>
      </w:r>
      <w:hyperlink r:id="rId12" w:history="1">
        <w:r w:rsidR="00FB3BDE" w:rsidRPr="00BF6BA3">
          <w:rPr>
            <w:rStyle w:val="Hyperlink"/>
            <w:rFonts w:ascii="Verdana" w:hAnsi="Verdana"/>
            <w:sz w:val="20"/>
            <w:szCs w:val="20"/>
          </w:rPr>
          <w:t>sfurman@gmu.edu</w:t>
        </w:r>
      </w:hyperlink>
      <w:r w:rsidR="00FB3BDE">
        <w:rPr>
          <w:rFonts w:ascii="Verdana" w:hAnsi="Verdana"/>
          <w:sz w:val="20"/>
          <w:szCs w:val="20"/>
        </w:rPr>
        <w:t xml:space="preserve">, </w:t>
      </w:r>
      <w:hyperlink r:id="rId13" w:history="1">
        <w:r w:rsidRPr="0003033C">
          <w:rPr>
            <w:rStyle w:val="Hyperlink"/>
            <w:rFonts w:ascii="Verdana" w:hAnsi="Verdana"/>
            <w:sz w:val="20"/>
            <w:szCs w:val="20"/>
          </w:rPr>
          <w:t>Susanne.Furman@nist.gov</w:t>
        </w:r>
      </w:hyperlink>
      <w:r>
        <w:rPr>
          <w:rFonts w:ascii="Verdana" w:hAnsi="Verdana"/>
          <w:sz w:val="20"/>
          <w:szCs w:val="20"/>
        </w:rPr>
        <w:t xml:space="preserve"> or </w:t>
      </w:r>
      <w:hyperlink r:id="rId14" w:history="1">
        <w:r w:rsidRPr="0003033C">
          <w:rPr>
            <w:rStyle w:val="Hyperlink"/>
            <w:rFonts w:ascii="Verdana" w:hAnsi="Verdana"/>
            <w:sz w:val="20"/>
            <w:szCs w:val="20"/>
          </w:rPr>
          <w:t>susannefurman@yahoo.com</w:t>
        </w:r>
      </w:hyperlink>
    </w:p>
    <w:p w14:paraId="1A746824" w14:textId="77777777" w:rsidR="009C46F5" w:rsidRPr="00A77EC2" w:rsidRDefault="009C46F5" w:rsidP="009C46F5">
      <w:pPr>
        <w:tabs>
          <w:tab w:val="left" w:pos="-450"/>
        </w:tabs>
        <w:spacing w:after="0"/>
        <w:ind w:left="-450"/>
        <w:jc w:val="center"/>
        <w:rPr>
          <w:rFonts w:ascii="Verdana" w:hAnsi="Verdana"/>
          <w:color w:val="1F497D" w:themeColor="text2"/>
          <w:sz w:val="20"/>
          <w:szCs w:val="20"/>
        </w:rPr>
      </w:pPr>
      <w:r w:rsidRPr="00A77EC2">
        <w:rPr>
          <w:rFonts w:ascii="Verdana" w:hAnsi="Verdana"/>
          <w:color w:val="1F497D" w:themeColor="text2"/>
          <w:sz w:val="20"/>
          <w:szCs w:val="20"/>
        </w:rPr>
        <w:t>____________________________________________________________________________</w:t>
      </w:r>
    </w:p>
    <w:p w14:paraId="7ECBFFF2" w14:textId="77777777" w:rsidR="009C46F5" w:rsidRDefault="009C46F5" w:rsidP="009C46F5">
      <w:pPr>
        <w:spacing w:after="0"/>
        <w:ind w:hanging="450"/>
        <w:rPr>
          <w:rFonts w:ascii="Verdana" w:hAnsi="Verdana"/>
          <w:b/>
        </w:rPr>
      </w:pPr>
    </w:p>
    <w:p w14:paraId="7326E311" w14:textId="77777777" w:rsidR="009C46F5" w:rsidRDefault="009C46F5" w:rsidP="009C46F5">
      <w:pPr>
        <w:spacing w:after="0"/>
        <w:ind w:hanging="450"/>
        <w:rPr>
          <w:rFonts w:ascii="Verdana" w:hAnsi="Verdana"/>
          <w:b/>
        </w:rPr>
      </w:pPr>
      <w:r w:rsidRPr="009C46F5">
        <w:rPr>
          <w:rFonts w:ascii="Verdana" w:hAnsi="Verdana"/>
          <w:b/>
        </w:rPr>
        <w:t>Class Cancel</w:t>
      </w:r>
      <w:r>
        <w:rPr>
          <w:rFonts w:ascii="Verdana" w:hAnsi="Verdana"/>
          <w:b/>
        </w:rPr>
        <w:t>l</w:t>
      </w:r>
      <w:r w:rsidRPr="009C46F5">
        <w:rPr>
          <w:rFonts w:ascii="Verdana" w:hAnsi="Verdana"/>
          <w:b/>
        </w:rPr>
        <w:t xml:space="preserve">ation Policy </w:t>
      </w:r>
    </w:p>
    <w:p w14:paraId="35E202A1" w14:textId="77777777" w:rsidR="009C46F5" w:rsidRPr="009C46F5" w:rsidRDefault="009C46F5" w:rsidP="009C46F5">
      <w:pPr>
        <w:spacing w:after="0"/>
        <w:ind w:left="-450"/>
        <w:rPr>
          <w:rFonts w:ascii="Verdana" w:hAnsi="Verdana"/>
          <w:sz w:val="20"/>
          <w:szCs w:val="20"/>
        </w:rPr>
      </w:pPr>
      <w:r w:rsidRPr="009C46F5">
        <w:rPr>
          <w:rFonts w:ascii="Verdana" w:hAnsi="Verdana"/>
          <w:sz w:val="20"/>
          <w:szCs w:val="20"/>
        </w:rPr>
        <w:t xml:space="preserve">Dr. Furman will notify students either in advance or by email if class has to be canceled. </w:t>
      </w:r>
      <w:r>
        <w:rPr>
          <w:rFonts w:ascii="Verdana" w:hAnsi="Verdana"/>
          <w:sz w:val="20"/>
          <w:szCs w:val="20"/>
        </w:rPr>
        <w:t xml:space="preserve">If class is canceled in advance, students will be given a homework assignment and expected to read the assigned reading for that week and complete the homework assignment and bring it to the next class. </w:t>
      </w:r>
    </w:p>
    <w:p w14:paraId="3A8BB347" w14:textId="77777777" w:rsidR="00A77EC2" w:rsidRPr="00A77EC2" w:rsidRDefault="00A77EC2" w:rsidP="00A77EC2">
      <w:pPr>
        <w:tabs>
          <w:tab w:val="left" w:pos="-450"/>
        </w:tabs>
        <w:spacing w:after="0"/>
        <w:ind w:left="-450"/>
        <w:jc w:val="center"/>
        <w:rPr>
          <w:rFonts w:ascii="Verdana" w:hAnsi="Verdana"/>
          <w:color w:val="1F497D" w:themeColor="text2"/>
          <w:sz w:val="20"/>
          <w:szCs w:val="20"/>
        </w:rPr>
      </w:pPr>
      <w:r w:rsidRPr="00A77EC2">
        <w:rPr>
          <w:rFonts w:ascii="Verdana" w:hAnsi="Verdana"/>
          <w:color w:val="1F497D" w:themeColor="text2"/>
          <w:sz w:val="20"/>
          <w:szCs w:val="20"/>
        </w:rPr>
        <w:t>____________________________________________________________________________</w:t>
      </w:r>
    </w:p>
    <w:p w14:paraId="1C698E00" w14:textId="77777777" w:rsidR="00A77EC2" w:rsidRDefault="00A77EC2" w:rsidP="00A77EC2">
      <w:pPr>
        <w:spacing w:after="0"/>
        <w:ind w:left="-450"/>
        <w:rPr>
          <w:rFonts w:ascii="Verdana" w:hAnsi="Verdana"/>
          <w:b/>
        </w:rPr>
      </w:pPr>
    </w:p>
    <w:p w14:paraId="18795C5C" w14:textId="77777777" w:rsidR="00A77EC2" w:rsidRDefault="00A77EC2" w:rsidP="00A77EC2">
      <w:pPr>
        <w:spacing w:after="0"/>
        <w:ind w:left="-450"/>
        <w:rPr>
          <w:rFonts w:ascii="Verdana" w:hAnsi="Verdana"/>
          <w:b/>
        </w:rPr>
      </w:pPr>
      <w:r>
        <w:rPr>
          <w:rFonts w:ascii="Verdana" w:hAnsi="Verdana"/>
          <w:b/>
        </w:rPr>
        <w:t>Course Schedule</w:t>
      </w:r>
    </w:p>
    <w:p w14:paraId="02D8FE68" w14:textId="77777777" w:rsidR="001C5FDE" w:rsidRDefault="00A77EC2" w:rsidP="00A77EC2">
      <w:pPr>
        <w:spacing w:after="0"/>
        <w:ind w:left="-450"/>
        <w:rPr>
          <w:rFonts w:ascii="Verdana" w:hAnsi="Verdana"/>
          <w:sz w:val="20"/>
          <w:szCs w:val="20"/>
        </w:rPr>
      </w:pPr>
      <w:r>
        <w:rPr>
          <w:rFonts w:ascii="Verdana" w:hAnsi="Verdana"/>
          <w:sz w:val="20"/>
          <w:szCs w:val="20"/>
        </w:rPr>
        <w:t xml:space="preserve">The topics and readings are tentative and may change during the semester. The instructor will provide notice of any changes as far in advance as possible. Students are expected to actively read and engage with the assigned readings </w:t>
      </w:r>
      <w:r w:rsidRPr="00A77EC2">
        <w:rPr>
          <w:rFonts w:ascii="Verdana" w:hAnsi="Verdana"/>
          <w:b/>
          <w:i/>
          <w:sz w:val="20"/>
          <w:szCs w:val="20"/>
        </w:rPr>
        <w:t>BEFORE</w:t>
      </w:r>
      <w:r>
        <w:rPr>
          <w:rFonts w:ascii="Verdana" w:hAnsi="Verdana"/>
          <w:sz w:val="20"/>
          <w:szCs w:val="20"/>
        </w:rPr>
        <w:t xml:space="preserve"> the class.</w:t>
      </w:r>
    </w:p>
    <w:p w14:paraId="59A48C1C" w14:textId="77777777" w:rsidR="002F666D" w:rsidRDefault="002F666D" w:rsidP="00A77EC2">
      <w:pPr>
        <w:spacing w:after="0"/>
        <w:ind w:left="-450"/>
        <w:rPr>
          <w:rFonts w:ascii="Verdana" w:hAnsi="Verdana"/>
          <w:sz w:val="20"/>
          <w:szCs w:val="20"/>
        </w:rPr>
      </w:pPr>
    </w:p>
    <w:p w14:paraId="189FEE16" w14:textId="4D1BBA44" w:rsidR="002F666D" w:rsidRDefault="002F666D" w:rsidP="00A77EC2">
      <w:pPr>
        <w:spacing w:after="0"/>
        <w:ind w:left="-450"/>
        <w:rPr>
          <w:rFonts w:ascii="Verdana" w:hAnsi="Verdana"/>
          <w:sz w:val="20"/>
          <w:szCs w:val="20"/>
        </w:rPr>
      </w:pPr>
      <w:r>
        <w:rPr>
          <w:rFonts w:ascii="Verdana" w:hAnsi="Verdana"/>
          <w:sz w:val="20"/>
          <w:szCs w:val="20"/>
        </w:rPr>
        <w:t xml:space="preserve">We </w:t>
      </w:r>
      <w:r w:rsidR="00333422">
        <w:rPr>
          <w:rFonts w:ascii="Verdana" w:hAnsi="Verdana"/>
          <w:sz w:val="20"/>
          <w:szCs w:val="20"/>
        </w:rPr>
        <w:t xml:space="preserve">may </w:t>
      </w:r>
      <w:r>
        <w:rPr>
          <w:rFonts w:ascii="Verdana" w:hAnsi="Verdana"/>
          <w:sz w:val="20"/>
          <w:szCs w:val="20"/>
        </w:rPr>
        <w:t xml:space="preserve">also have some </w:t>
      </w:r>
      <w:r w:rsidR="009C46F5">
        <w:rPr>
          <w:rFonts w:ascii="Verdana" w:hAnsi="Verdana"/>
          <w:sz w:val="20"/>
          <w:szCs w:val="20"/>
        </w:rPr>
        <w:t xml:space="preserve">impromptu </w:t>
      </w:r>
      <w:r>
        <w:rPr>
          <w:rFonts w:ascii="Verdana" w:hAnsi="Verdana"/>
          <w:sz w:val="20"/>
          <w:szCs w:val="20"/>
        </w:rPr>
        <w:t>visits fr</w:t>
      </w:r>
      <w:r w:rsidR="009C46F5">
        <w:rPr>
          <w:rFonts w:ascii="Verdana" w:hAnsi="Verdana"/>
          <w:sz w:val="20"/>
          <w:szCs w:val="20"/>
        </w:rPr>
        <w:t xml:space="preserve">om </w:t>
      </w:r>
      <w:r w:rsidR="00333422">
        <w:rPr>
          <w:rFonts w:ascii="Verdana" w:hAnsi="Verdana"/>
          <w:sz w:val="20"/>
          <w:szCs w:val="20"/>
        </w:rPr>
        <w:t>professionals</w:t>
      </w:r>
      <w:r w:rsidR="009C46F5">
        <w:rPr>
          <w:rFonts w:ascii="Verdana" w:hAnsi="Verdana"/>
          <w:sz w:val="20"/>
          <w:szCs w:val="20"/>
        </w:rPr>
        <w:t xml:space="preserve"> </w:t>
      </w:r>
      <w:r>
        <w:rPr>
          <w:rFonts w:ascii="Verdana" w:hAnsi="Verdana"/>
          <w:sz w:val="20"/>
          <w:szCs w:val="20"/>
        </w:rPr>
        <w:t xml:space="preserve">come and visit us and talk about what they learned and how they are using it in their jobs. </w:t>
      </w:r>
    </w:p>
    <w:p w14:paraId="4A7D794A" w14:textId="77777777" w:rsidR="009C46F5" w:rsidRDefault="009C46F5" w:rsidP="009C46F5">
      <w:pPr>
        <w:spacing w:after="0"/>
        <w:ind w:left="-450"/>
        <w:rPr>
          <w:rFonts w:ascii="Verdana" w:hAnsi="Verdana"/>
          <w:sz w:val="20"/>
          <w:szCs w:val="20"/>
        </w:rPr>
      </w:pPr>
    </w:p>
    <w:p w14:paraId="4AA2E7AB" w14:textId="77777777" w:rsidR="009C46F5" w:rsidRPr="009C46F5" w:rsidRDefault="009C46F5" w:rsidP="009C46F5">
      <w:pPr>
        <w:spacing w:after="0"/>
        <w:ind w:left="-450"/>
        <w:rPr>
          <w:rFonts w:ascii="Verdana" w:hAnsi="Verdana"/>
          <w:b/>
          <w:sz w:val="20"/>
          <w:szCs w:val="20"/>
        </w:rPr>
      </w:pPr>
      <w:r w:rsidRPr="009C46F5">
        <w:rPr>
          <w:rFonts w:ascii="Verdana" w:hAnsi="Verdana"/>
          <w:b/>
          <w:sz w:val="20"/>
          <w:szCs w:val="20"/>
        </w:rPr>
        <w:t>Add/Drop Deadlines</w:t>
      </w:r>
    </w:p>
    <w:p w14:paraId="669E7884" w14:textId="694EE30C" w:rsidR="009C46F5" w:rsidRPr="009C46F5" w:rsidRDefault="009C46F5" w:rsidP="009C46F5">
      <w:pPr>
        <w:spacing w:after="0"/>
        <w:ind w:left="-450"/>
        <w:rPr>
          <w:rFonts w:ascii="Verdana" w:hAnsi="Verdana"/>
          <w:sz w:val="20"/>
          <w:szCs w:val="20"/>
        </w:rPr>
      </w:pPr>
      <w:r w:rsidRPr="009C46F5">
        <w:rPr>
          <w:rFonts w:ascii="Verdana" w:hAnsi="Verdana"/>
          <w:sz w:val="20"/>
          <w:szCs w:val="20"/>
        </w:rPr>
        <w:t xml:space="preserve">The last day to add/drop </w:t>
      </w:r>
      <w:r w:rsidR="00FB3BDE">
        <w:rPr>
          <w:rFonts w:ascii="Verdana" w:hAnsi="Verdana"/>
          <w:sz w:val="20"/>
          <w:szCs w:val="20"/>
        </w:rPr>
        <w:t xml:space="preserve">100% tuition refund: Feb </w:t>
      </w:r>
    </w:p>
    <w:p w14:paraId="68824148" w14:textId="6694CA90" w:rsidR="009C46F5" w:rsidRDefault="00FB3BDE" w:rsidP="00FB3BDE">
      <w:pPr>
        <w:spacing w:after="0"/>
        <w:ind w:left="-450"/>
        <w:rPr>
          <w:rFonts w:ascii="Verdana" w:hAnsi="Verdana"/>
          <w:sz w:val="20"/>
          <w:szCs w:val="20"/>
        </w:rPr>
      </w:pPr>
      <w:r>
        <w:rPr>
          <w:rFonts w:ascii="Verdana" w:hAnsi="Verdana"/>
          <w:sz w:val="20"/>
          <w:szCs w:val="20"/>
        </w:rPr>
        <w:t xml:space="preserve">Final drop deadline: Feb </w:t>
      </w:r>
    </w:p>
    <w:p w14:paraId="680F657C" w14:textId="77777777" w:rsidR="00AE3ECE" w:rsidRDefault="00AE3ECE" w:rsidP="009C46F5">
      <w:pPr>
        <w:spacing w:after="0"/>
        <w:ind w:left="-450"/>
        <w:rPr>
          <w:rFonts w:ascii="Verdana" w:hAnsi="Verdana"/>
          <w:sz w:val="20"/>
          <w:szCs w:val="20"/>
        </w:rPr>
      </w:pPr>
    </w:p>
    <w:p w14:paraId="31B52954" w14:textId="77777777" w:rsidR="00A77EC2" w:rsidRDefault="00AE3ECE" w:rsidP="00FB3BDE">
      <w:pPr>
        <w:spacing w:after="0"/>
        <w:ind w:left="-450"/>
        <w:rPr>
          <w:rFonts w:ascii="Verdana" w:hAnsi="Verdana"/>
          <w:sz w:val="20"/>
          <w:szCs w:val="20"/>
        </w:rPr>
      </w:pPr>
      <w:r w:rsidRPr="00AE3ECE">
        <w:rPr>
          <w:rFonts w:ascii="Verdana" w:hAnsi="Verdana"/>
          <w:b/>
          <w:sz w:val="20"/>
          <w:szCs w:val="20"/>
        </w:rPr>
        <w:t xml:space="preserve">Reading Assignments </w:t>
      </w:r>
      <w:r w:rsidR="00A77EC2">
        <w:rPr>
          <w:rFonts w:ascii="Verdana" w:hAnsi="Verdana"/>
          <w:sz w:val="20"/>
          <w:szCs w:val="20"/>
        </w:rPr>
        <w:t xml:space="preserve"> </w:t>
      </w:r>
    </w:p>
    <w:tbl>
      <w:tblPr>
        <w:tblStyle w:val="TableGrid"/>
        <w:tblW w:w="10458" w:type="dxa"/>
        <w:tblInd w:w="-450" w:type="dxa"/>
        <w:tblLook w:val="04A0" w:firstRow="1" w:lastRow="0" w:firstColumn="1" w:lastColumn="0" w:noHBand="0" w:noVBand="1"/>
      </w:tblPr>
      <w:tblGrid>
        <w:gridCol w:w="740"/>
        <w:gridCol w:w="6365"/>
        <w:gridCol w:w="3353"/>
      </w:tblGrid>
      <w:tr w:rsidR="009F6F8E" w:rsidRPr="007E0A6A" w14:paraId="0E11AC85" w14:textId="77777777" w:rsidTr="00CB6F74">
        <w:trPr>
          <w:trHeight w:val="440"/>
        </w:trPr>
        <w:tc>
          <w:tcPr>
            <w:tcW w:w="740" w:type="dxa"/>
            <w:shd w:val="clear" w:color="auto" w:fill="1F497D" w:themeFill="text2"/>
            <w:vAlign w:val="center"/>
          </w:tcPr>
          <w:p w14:paraId="0DFF48D8" w14:textId="77777777" w:rsidR="009F6F8E" w:rsidRPr="00415E3B" w:rsidRDefault="009F6F8E" w:rsidP="00CB6F74">
            <w:pPr>
              <w:rPr>
                <w:rFonts w:ascii="Verdana" w:hAnsi="Verdana"/>
                <w:b/>
                <w:color w:val="FFFFFF" w:themeColor="background1"/>
                <w:sz w:val="20"/>
                <w:szCs w:val="18"/>
              </w:rPr>
            </w:pPr>
            <w:r w:rsidRPr="00415E3B">
              <w:rPr>
                <w:rFonts w:ascii="Verdana" w:hAnsi="Verdana"/>
                <w:b/>
                <w:color w:val="FFFFFF" w:themeColor="background1"/>
                <w:sz w:val="20"/>
                <w:szCs w:val="18"/>
              </w:rPr>
              <w:t>Date</w:t>
            </w:r>
          </w:p>
        </w:tc>
        <w:tc>
          <w:tcPr>
            <w:tcW w:w="6365" w:type="dxa"/>
            <w:shd w:val="clear" w:color="auto" w:fill="1F497D" w:themeFill="text2"/>
            <w:vAlign w:val="center"/>
          </w:tcPr>
          <w:p w14:paraId="159A4B55" w14:textId="77777777" w:rsidR="009F6F8E" w:rsidRPr="00415E3B" w:rsidRDefault="009F6F8E" w:rsidP="00CB6F74">
            <w:pPr>
              <w:jc w:val="center"/>
              <w:rPr>
                <w:rFonts w:ascii="Verdana" w:hAnsi="Verdana"/>
                <w:b/>
                <w:color w:val="FFFFFF" w:themeColor="background1"/>
                <w:sz w:val="20"/>
                <w:szCs w:val="18"/>
              </w:rPr>
            </w:pPr>
            <w:r w:rsidRPr="00415E3B">
              <w:rPr>
                <w:rFonts w:ascii="Verdana" w:hAnsi="Verdana"/>
                <w:b/>
                <w:color w:val="FFFFFF" w:themeColor="background1"/>
                <w:sz w:val="20"/>
                <w:szCs w:val="18"/>
              </w:rPr>
              <w:t>Topic</w:t>
            </w:r>
          </w:p>
        </w:tc>
        <w:tc>
          <w:tcPr>
            <w:tcW w:w="3353" w:type="dxa"/>
            <w:shd w:val="clear" w:color="auto" w:fill="1F497D" w:themeFill="text2"/>
            <w:vAlign w:val="center"/>
          </w:tcPr>
          <w:p w14:paraId="5B48AC95" w14:textId="77777777" w:rsidR="009F6F8E" w:rsidRPr="00415E3B" w:rsidRDefault="009F6F8E" w:rsidP="00CB6F74">
            <w:pPr>
              <w:rPr>
                <w:rFonts w:ascii="Verdana" w:hAnsi="Verdana"/>
                <w:b/>
                <w:color w:val="FFFFFF" w:themeColor="background1"/>
                <w:sz w:val="20"/>
                <w:szCs w:val="18"/>
              </w:rPr>
            </w:pPr>
            <w:r w:rsidRPr="00415E3B">
              <w:rPr>
                <w:rFonts w:ascii="Verdana" w:hAnsi="Verdana"/>
                <w:b/>
                <w:color w:val="FFFFFF" w:themeColor="background1"/>
                <w:sz w:val="20"/>
                <w:szCs w:val="18"/>
              </w:rPr>
              <w:t>Readings</w:t>
            </w:r>
          </w:p>
        </w:tc>
      </w:tr>
      <w:tr w:rsidR="009F6F8E" w:rsidRPr="007E0A6A" w14:paraId="147F74B7" w14:textId="77777777" w:rsidTr="00704427">
        <w:trPr>
          <w:trHeight w:val="576"/>
        </w:trPr>
        <w:tc>
          <w:tcPr>
            <w:tcW w:w="740" w:type="dxa"/>
            <w:vAlign w:val="center"/>
          </w:tcPr>
          <w:p w14:paraId="57141C5E" w14:textId="2D58D448" w:rsidR="009F6F8E" w:rsidRPr="007E0A6A" w:rsidRDefault="009F6F8E" w:rsidP="00CB6F74">
            <w:pPr>
              <w:rPr>
                <w:rFonts w:ascii="Verdana" w:hAnsi="Verdana"/>
                <w:sz w:val="18"/>
                <w:szCs w:val="18"/>
              </w:rPr>
            </w:pPr>
            <w:r w:rsidRPr="007E0A6A">
              <w:rPr>
                <w:rFonts w:ascii="Verdana" w:hAnsi="Verdana"/>
                <w:sz w:val="18"/>
                <w:szCs w:val="18"/>
              </w:rPr>
              <w:t>1/</w:t>
            </w:r>
            <w:r>
              <w:rPr>
                <w:rFonts w:ascii="Verdana" w:hAnsi="Verdana"/>
                <w:sz w:val="18"/>
                <w:szCs w:val="18"/>
              </w:rPr>
              <w:t>2</w:t>
            </w:r>
            <w:r w:rsidR="00B374E0">
              <w:rPr>
                <w:rFonts w:ascii="Verdana" w:hAnsi="Verdana"/>
                <w:sz w:val="18"/>
                <w:szCs w:val="18"/>
              </w:rPr>
              <w:t>0</w:t>
            </w:r>
          </w:p>
        </w:tc>
        <w:tc>
          <w:tcPr>
            <w:tcW w:w="6365" w:type="dxa"/>
            <w:vAlign w:val="center"/>
          </w:tcPr>
          <w:p w14:paraId="399128E0" w14:textId="77777777" w:rsidR="009F6F8E" w:rsidRPr="007E0A6A" w:rsidRDefault="009F6F8E" w:rsidP="00CB6F74">
            <w:pPr>
              <w:rPr>
                <w:rFonts w:ascii="Verdana" w:hAnsi="Verdana"/>
                <w:sz w:val="18"/>
                <w:szCs w:val="18"/>
              </w:rPr>
            </w:pPr>
            <w:r w:rsidRPr="007E0A6A">
              <w:rPr>
                <w:rFonts w:ascii="Verdana" w:hAnsi="Verdana"/>
                <w:sz w:val="18"/>
                <w:szCs w:val="18"/>
              </w:rPr>
              <w:t xml:space="preserve">Introduction to the Class </w:t>
            </w:r>
          </w:p>
        </w:tc>
        <w:tc>
          <w:tcPr>
            <w:tcW w:w="3353" w:type="dxa"/>
            <w:vAlign w:val="center"/>
          </w:tcPr>
          <w:p w14:paraId="10D9F457" w14:textId="77777777" w:rsidR="009F6F8E" w:rsidRPr="007E0A6A" w:rsidRDefault="009F6F8E" w:rsidP="00CB6F74">
            <w:pPr>
              <w:rPr>
                <w:rFonts w:ascii="Verdana" w:hAnsi="Verdana"/>
                <w:sz w:val="18"/>
                <w:szCs w:val="18"/>
              </w:rPr>
            </w:pPr>
            <w:r w:rsidRPr="007E0A6A">
              <w:rPr>
                <w:rFonts w:ascii="Verdana" w:hAnsi="Verdana"/>
                <w:sz w:val="18"/>
                <w:szCs w:val="18"/>
              </w:rPr>
              <w:t>None</w:t>
            </w:r>
          </w:p>
        </w:tc>
      </w:tr>
      <w:tr w:rsidR="009F6F8E" w:rsidRPr="007E0A6A" w14:paraId="0A214E65" w14:textId="77777777" w:rsidTr="00704427">
        <w:trPr>
          <w:trHeight w:val="467"/>
        </w:trPr>
        <w:tc>
          <w:tcPr>
            <w:tcW w:w="740" w:type="dxa"/>
            <w:vAlign w:val="center"/>
          </w:tcPr>
          <w:p w14:paraId="78AD526A" w14:textId="1AB7794D" w:rsidR="009F6F8E" w:rsidRPr="007E0A6A" w:rsidRDefault="009F6F8E" w:rsidP="00CB6F74">
            <w:pPr>
              <w:rPr>
                <w:rFonts w:ascii="Verdana" w:hAnsi="Verdana"/>
                <w:sz w:val="18"/>
                <w:szCs w:val="18"/>
              </w:rPr>
            </w:pPr>
            <w:r>
              <w:rPr>
                <w:rFonts w:ascii="Verdana" w:hAnsi="Verdana"/>
                <w:sz w:val="18"/>
                <w:szCs w:val="18"/>
              </w:rPr>
              <w:t>1/2</w:t>
            </w:r>
            <w:r w:rsidR="00704427">
              <w:rPr>
                <w:rFonts w:ascii="Verdana" w:hAnsi="Verdana"/>
                <w:sz w:val="18"/>
                <w:szCs w:val="18"/>
              </w:rPr>
              <w:t>7</w:t>
            </w:r>
          </w:p>
        </w:tc>
        <w:tc>
          <w:tcPr>
            <w:tcW w:w="6365" w:type="dxa"/>
            <w:vAlign w:val="center"/>
          </w:tcPr>
          <w:p w14:paraId="2C3FA6B8" w14:textId="5DE3FDDF" w:rsidR="009F6F8E" w:rsidRPr="007E0A6A" w:rsidRDefault="00704427" w:rsidP="00704427">
            <w:pPr>
              <w:spacing w:before="120" w:after="100" w:afterAutospacing="1"/>
              <w:rPr>
                <w:rFonts w:ascii="Verdana" w:hAnsi="Verdana"/>
                <w:sz w:val="18"/>
                <w:szCs w:val="18"/>
              </w:rPr>
            </w:pPr>
            <w:r>
              <w:rPr>
                <w:rFonts w:ascii="Verdana" w:hAnsi="Verdana"/>
                <w:sz w:val="18"/>
                <w:szCs w:val="18"/>
              </w:rPr>
              <w:t>Chapter 1 Introduction to Human Factors Methods</w:t>
            </w:r>
          </w:p>
        </w:tc>
        <w:tc>
          <w:tcPr>
            <w:tcW w:w="3353" w:type="dxa"/>
            <w:vAlign w:val="center"/>
          </w:tcPr>
          <w:p w14:paraId="20EB9E36" w14:textId="1BEA2C18" w:rsidR="009F6F8E" w:rsidRPr="007E0A6A" w:rsidRDefault="00704427" w:rsidP="00CB6F74">
            <w:pPr>
              <w:rPr>
                <w:rFonts w:ascii="Verdana" w:hAnsi="Verdana"/>
                <w:sz w:val="18"/>
                <w:szCs w:val="18"/>
              </w:rPr>
            </w:pPr>
            <w:r>
              <w:rPr>
                <w:rFonts w:ascii="Verdana" w:hAnsi="Verdana"/>
                <w:sz w:val="18"/>
                <w:szCs w:val="18"/>
              </w:rPr>
              <w:t>Chapter 1 - Stanton</w:t>
            </w:r>
          </w:p>
        </w:tc>
      </w:tr>
      <w:tr w:rsidR="009F6F8E" w:rsidRPr="007E0A6A" w14:paraId="3F1DCFFB" w14:textId="77777777" w:rsidTr="00704427">
        <w:trPr>
          <w:trHeight w:val="332"/>
        </w:trPr>
        <w:tc>
          <w:tcPr>
            <w:tcW w:w="740" w:type="dxa"/>
            <w:vAlign w:val="center"/>
          </w:tcPr>
          <w:p w14:paraId="3AC924D3" w14:textId="22D5DE21" w:rsidR="009F6F8E" w:rsidRPr="007E0A6A" w:rsidRDefault="009F6F8E" w:rsidP="00CB6F74">
            <w:pPr>
              <w:rPr>
                <w:rFonts w:ascii="Verdana" w:hAnsi="Verdana"/>
                <w:sz w:val="18"/>
                <w:szCs w:val="18"/>
              </w:rPr>
            </w:pPr>
            <w:r w:rsidRPr="007E0A6A">
              <w:rPr>
                <w:rFonts w:ascii="Verdana" w:hAnsi="Verdana"/>
                <w:sz w:val="18"/>
                <w:szCs w:val="18"/>
              </w:rPr>
              <w:t>2/</w:t>
            </w:r>
            <w:r>
              <w:rPr>
                <w:rFonts w:ascii="Verdana" w:hAnsi="Verdana"/>
                <w:sz w:val="18"/>
                <w:szCs w:val="18"/>
              </w:rPr>
              <w:t>0</w:t>
            </w:r>
            <w:r w:rsidR="00704427">
              <w:rPr>
                <w:rFonts w:ascii="Verdana" w:hAnsi="Verdana"/>
                <w:sz w:val="18"/>
                <w:szCs w:val="18"/>
              </w:rPr>
              <w:t>3</w:t>
            </w:r>
          </w:p>
        </w:tc>
        <w:tc>
          <w:tcPr>
            <w:tcW w:w="6365" w:type="dxa"/>
            <w:vAlign w:val="center"/>
          </w:tcPr>
          <w:p w14:paraId="51968BF7" w14:textId="57980DB8" w:rsidR="009F6F8E" w:rsidRPr="007E0A6A" w:rsidRDefault="00704427" w:rsidP="00CB6F74">
            <w:pPr>
              <w:rPr>
                <w:rFonts w:ascii="Verdana" w:hAnsi="Verdana"/>
                <w:sz w:val="18"/>
                <w:szCs w:val="18"/>
              </w:rPr>
            </w:pPr>
            <w:r>
              <w:rPr>
                <w:rFonts w:ascii="Verdana" w:hAnsi="Verdana"/>
                <w:sz w:val="18"/>
                <w:szCs w:val="18"/>
              </w:rPr>
              <w:t>Chapter 2 Data Collection</w:t>
            </w:r>
          </w:p>
        </w:tc>
        <w:tc>
          <w:tcPr>
            <w:tcW w:w="3353" w:type="dxa"/>
            <w:vAlign w:val="center"/>
          </w:tcPr>
          <w:p w14:paraId="1784705A" w14:textId="17AF74AA" w:rsidR="009F6F8E" w:rsidRPr="007E0A6A" w:rsidRDefault="00704427" w:rsidP="00704427">
            <w:pPr>
              <w:spacing w:before="120"/>
              <w:rPr>
                <w:rFonts w:ascii="Verdana" w:hAnsi="Verdana"/>
                <w:sz w:val="18"/>
                <w:szCs w:val="18"/>
              </w:rPr>
            </w:pPr>
            <w:r>
              <w:rPr>
                <w:rFonts w:ascii="Verdana" w:hAnsi="Verdana"/>
                <w:sz w:val="18"/>
                <w:szCs w:val="18"/>
              </w:rPr>
              <w:t>Chapter 2- Stanton</w:t>
            </w:r>
          </w:p>
          <w:p w14:paraId="28A438A5" w14:textId="77777777" w:rsidR="009F6F8E" w:rsidRPr="007E0A6A" w:rsidRDefault="009F6F8E" w:rsidP="00B374E0">
            <w:pPr>
              <w:rPr>
                <w:rFonts w:ascii="Verdana" w:hAnsi="Verdana"/>
                <w:sz w:val="18"/>
                <w:szCs w:val="18"/>
              </w:rPr>
            </w:pPr>
          </w:p>
        </w:tc>
      </w:tr>
      <w:tr w:rsidR="009F6F8E" w:rsidRPr="007E0A6A" w14:paraId="1A061FC6" w14:textId="77777777" w:rsidTr="00CB6F74">
        <w:tc>
          <w:tcPr>
            <w:tcW w:w="740" w:type="dxa"/>
            <w:vAlign w:val="center"/>
          </w:tcPr>
          <w:p w14:paraId="75C0B94E" w14:textId="533E577B" w:rsidR="009F6F8E" w:rsidRPr="007E0A6A" w:rsidRDefault="009F6F8E" w:rsidP="00CB6F74">
            <w:pPr>
              <w:rPr>
                <w:rFonts w:ascii="Verdana" w:hAnsi="Verdana"/>
                <w:sz w:val="18"/>
                <w:szCs w:val="18"/>
              </w:rPr>
            </w:pPr>
            <w:r>
              <w:rPr>
                <w:rFonts w:ascii="Verdana" w:hAnsi="Verdana"/>
                <w:sz w:val="18"/>
                <w:szCs w:val="18"/>
              </w:rPr>
              <w:t>2/1</w:t>
            </w:r>
            <w:r w:rsidR="00704427">
              <w:rPr>
                <w:rFonts w:ascii="Verdana" w:hAnsi="Verdana"/>
                <w:sz w:val="18"/>
                <w:szCs w:val="18"/>
              </w:rPr>
              <w:t>0</w:t>
            </w:r>
          </w:p>
        </w:tc>
        <w:tc>
          <w:tcPr>
            <w:tcW w:w="6365" w:type="dxa"/>
            <w:vAlign w:val="center"/>
          </w:tcPr>
          <w:p w14:paraId="7D91DF77" w14:textId="58A2C75F" w:rsidR="009F6F8E" w:rsidRPr="007E0A6A" w:rsidRDefault="00704427" w:rsidP="00CB6F74">
            <w:pPr>
              <w:rPr>
                <w:rFonts w:ascii="Verdana" w:hAnsi="Verdana"/>
                <w:sz w:val="18"/>
                <w:szCs w:val="18"/>
              </w:rPr>
            </w:pPr>
            <w:r>
              <w:rPr>
                <w:rFonts w:ascii="Verdana" w:hAnsi="Verdana"/>
                <w:sz w:val="18"/>
                <w:szCs w:val="18"/>
              </w:rPr>
              <w:t>Chapter 3 Task Analysis</w:t>
            </w:r>
          </w:p>
        </w:tc>
        <w:tc>
          <w:tcPr>
            <w:tcW w:w="3353" w:type="dxa"/>
            <w:vAlign w:val="center"/>
          </w:tcPr>
          <w:p w14:paraId="6036DB6E" w14:textId="0FA3DA16" w:rsidR="009F6F8E" w:rsidRPr="007E0A6A" w:rsidRDefault="00704427" w:rsidP="00704427">
            <w:pPr>
              <w:spacing w:before="120"/>
              <w:rPr>
                <w:rFonts w:ascii="Verdana" w:hAnsi="Verdana"/>
                <w:sz w:val="18"/>
                <w:szCs w:val="18"/>
              </w:rPr>
            </w:pPr>
            <w:r>
              <w:rPr>
                <w:rFonts w:ascii="Verdana" w:hAnsi="Verdana"/>
                <w:sz w:val="18"/>
                <w:szCs w:val="18"/>
              </w:rPr>
              <w:t>Chapter 3 - Stanton</w:t>
            </w:r>
          </w:p>
          <w:p w14:paraId="3F82DA86" w14:textId="77777777" w:rsidR="009F6F8E" w:rsidRPr="007E0A6A" w:rsidRDefault="009F6F8E" w:rsidP="00B374E0">
            <w:pPr>
              <w:rPr>
                <w:rFonts w:ascii="Verdana" w:hAnsi="Verdana"/>
                <w:sz w:val="18"/>
                <w:szCs w:val="18"/>
              </w:rPr>
            </w:pPr>
          </w:p>
        </w:tc>
      </w:tr>
      <w:tr w:rsidR="009F6F8E" w:rsidRPr="007E0A6A" w14:paraId="466E13E4" w14:textId="77777777" w:rsidTr="00CB6F74">
        <w:tc>
          <w:tcPr>
            <w:tcW w:w="740" w:type="dxa"/>
            <w:vAlign w:val="center"/>
          </w:tcPr>
          <w:p w14:paraId="77FDA147" w14:textId="38DBB22D" w:rsidR="009F6F8E" w:rsidRPr="007E0A6A" w:rsidRDefault="009F6F8E" w:rsidP="00CB6F74">
            <w:pPr>
              <w:rPr>
                <w:rFonts w:ascii="Verdana" w:hAnsi="Verdana"/>
                <w:sz w:val="18"/>
                <w:szCs w:val="18"/>
              </w:rPr>
            </w:pPr>
            <w:r>
              <w:rPr>
                <w:rFonts w:ascii="Verdana" w:hAnsi="Verdana"/>
                <w:sz w:val="18"/>
                <w:szCs w:val="18"/>
              </w:rPr>
              <w:t>2/1</w:t>
            </w:r>
            <w:r w:rsidR="00704427">
              <w:rPr>
                <w:rFonts w:ascii="Verdana" w:hAnsi="Verdana"/>
                <w:sz w:val="18"/>
                <w:szCs w:val="18"/>
              </w:rPr>
              <w:t>7</w:t>
            </w:r>
          </w:p>
        </w:tc>
        <w:tc>
          <w:tcPr>
            <w:tcW w:w="6365" w:type="dxa"/>
            <w:vAlign w:val="center"/>
          </w:tcPr>
          <w:p w14:paraId="58212364" w14:textId="2D85048A" w:rsidR="009F6F8E" w:rsidRPr="007E0A6A" w:rsidRDefault="00704427" w:rsidP="00CB6F74">
            <w:pPr>
              <w:rPr>
                <w:rFonts w:ascii="Verdana" w:hAnsi="Verdana"/>
                <w:sz w:val="18"/>
                <w:szCs w:val="18"/>
              </w:rPr>
            </w:pPr>
            <w:r>
              <w:rPr>
                <w:rFonts w:ascii="Verdana" w:hAnsi="Verdana"/>
                <w:sz w:val="18"/>
                <w:szCs w:val="18"/>
              </w:rPr>
              <w:t>Continue with Task Analysis</w:t>
            </w:r>
            <w:r w:rsidR="009F6F8E">
              <w:rPr>
                <w:rFonts w:ascii="Verdana" w:hAnsi="Verdana"/>
                <w:sz w:val="18"/>
                <w:szCs w:val="18"/>
              </w:rPr>
              <w:t xml:space="preserve"> </w:t>
            </w:r>
          </w:p>
        </w:tc>
        <w:tc>
          <w:tcPr>
            <w:tcW w:w="3353" w:type="dxa"/>
            <w:vAlign w:val="center"/>
          </w:tcPr>
          <w:p w14:paraId="0A57A440" w14:textId="77777777" w:rsidR="009F6F8E" w:rsidRPr="007E0A6A" w:rsidRDefault="009F6F8E" w:rsidP="00CB6F74">
            <w:pPr>
              <w:rPr>
                <w:rFonts w:ascii="Verdana" w:hAnsi="Verdana"/>
                <w:sz w:val="18"/>
                <w:szCs w:val="18"/>
              </w:rPr>
            </w:pPr>
          </w:p>
          <w:p w14:paraId="5F44D475" w14:textId="6DDB7268" w:rsidR="009F6F8E" w:rsidRPr="007E0A6A" w:rsidRDefault="00704427" w:rsidP="00CB6F74">
            <w:pPr>
              <w:rPr>
                <w:rFonts w:ascii="Verdana" w:hAnsi="Verdana"/>
                <w:sz w:val="18"/>
                <w:szCs w:val="18"/>
              </w:rPr>
            </w:pPr>
            <w:r>
              <w:rPr>
                <w:rFonts w:ascii="Verdana" w:hAnsi="Verdana"/>
                <w:sz w:val="18"/>
                <w:szCs w:val="18"/>
              </w:rPr>
              <w:t>Chapter 3 - Stanton</w:t>
            </w:r>
          </w:p>
          <w:p w14:paraId="6E9788F5" w14:textId="77777777" w:rsidR="009F6F8E" w:rsidRPr="007E0A6A" w:rsidRDefault="009F6F8E" w:rsidP="00CB6F74">
            <w:pPr>
              <w:rPr>
                <w:rFonts w:ascii="Verdana" w:hAnsi="Verdana"/>
                <w:sz w:val="18"/>
                <w:szCs w:val="18"/>
              </w:rPr>
            </w:pPr>
          </w:p>
        </w:tc>
      </w:tr>
      <w:tr w:rsidR="009F6F8E" w:rsidRPr="007E0A6A" w14:paraId="7F0B133F" w14:textId="77777777" w:rsidTr="00704427">
        <w:trPr>
          <w:trHeight w:val="440"/>
        </w:trPr>
        <w:tc>
          <w:tcPr>
            <w:tcW w:w="740" w:type="dxa"/>
            <w:vAlign w:val="center"/>
          </w:tcPr>
          <w:p w14:paraId="07FDF975" w14:textId="336E6ABE" w:rsidR="009F6F8E" w:rsidRPr="007E0A6A" w:rsidRDefault="009F6F8E" w:rsidP="00CB6F74">
            <w:pPr>
              <w:rPr>
                <w:rFonts w:ascii="Verdana" w:hAnsi="Verdana"/>
                <w:sz w:val="18"/>
                <w:szCs w:val="18"/>
              </w:rPr>
            </w:pPr>
            <w:r>
              <w:rPr>
                <w:rFonts w:ascii="Verdana" w:hAnsi="Verdana"/>
                <w:sz w:val="18"/>
                <w:szCs w:val="18"/>
              </w:rPr>
              <w:t>2/2</w:t>
            </w:r>
            <w:r w:rsidR="00704427">
              <w:rPr>
                <w:rFonts w:ascii="Verdana" w:hAnsi="Verdana"/>
                <w:sz w:val="18"/>
                <w:szCs w:val="18"/>
              </w:rPr>
              <w:t>4</w:t>
            </w:r>
          </w:p>
        </w:tc>
        <w:tc>
          <w:tcPr>
            <w:tcW w:w="6365" w:type="dxa"/>
            <w:vAlign w:val="center"/>
          </w:tcPr>
          <w:p w14:paraId="3557B8FF" w14:textId="5D9F021E" w:rsidR="009F6F8E" w:rsidRPr="007E0A6A" w:rsidRDefault="00704427" w:rsidP="00CB6F74">
            <w:pPr>
              <w:rPr>
                <w:rFonts w:ascii="Verdana" w:hAnsi="Verdana"/>
                <w:sz w:val="18"/>
                <w:szCs w:val="18"/>
              </w:rPr>
            </w:pPr>
            <w:r>
              <w:rPr>
                <w:rFonts w:ascii="Verdana" w:hAnsi="Verdana"/>
                <w:sz w:val="18"/>
                <w:szCs w:val="18"/>
              </w:rPr>
              <w:t>Chapter 4 -Cognitive Task Analysis</w:t>
            </w:r>
          </w:p>
        </w:tc>
        <w:tc>
          <w:tcPr>
            <w:tcW w:w="3353" w:type="dxa"/>
            <w:vAlign w:val="center"/>
          </w:tcPr>
          <w:p w14:paraId="0160F106" w14:textId="7F37EB7D" w:rsidR="009F6F8E" w:rsidRPr="007E0A6A" w:rsidRDefault="00704427" w:rsidP="00CB6F74">
            <w:pPr>
              <w:rPr>
                <w:rFonts w:ascii="Verdana" w:hAnsi="Verdana"/>
                <w:sz w:val="18"/>
                <w:szCs w:val="18"/>
              </w:rPr>
            </w:pPr>
            <w:r>
              <w:rPr>
                <w:rFonts w:ascii="Verdana" w:hAnsi="Verdana"/>
                <w:sz w:val="18"/>
                <w:szCs w:val="18"/>
              </w:rPr>
              <w:t>Chapter 4 - Stanton</w:t>
            </w:r>
          </w:p>
        </w:tc>
      </w:tr>
      <w:tr w:rsidR="009F6F8E" w:rsidRPr="007E0A6A" w14:paraId="16012CB7" w14:textId="77777777" w:rsidTr="00CB6F74">
        <w:tc>
          <w:tcPr>
            <w:tcW w:w="740" w:type="dxa"/>
            <w:vAlign w:val="center"/>
          </w:tcPr>
          <w:p w14:paraId="66EE4E33" w14:textId="25586834" w:rsidR="009F6F8E" w:rsidRPr="007E0A6A" w:rsidRDefault="009F6F8E" w:rsidP="00CB6F74">
            <w:pPr>
              <w:rPr>
                <w:rFonts w:ascii="Verdana" w:hAnsi="Verdana"/>
                <w:sz w:val="18"/>
                <w:szCs w:val="18"/>
              </w:rPr>
            </w:pPr>
            <w:r w:rsidRPr="007E0A6A">
              <w:rPr>
                <w:rFonts w:ascii="Verdana" w:hAnsi="Verdana"/>
                <w:sz w:val="18"/>
                <w:szCs w:val="18"/>
              </w:rPr>
              <w:t>3/</w:t>
            </w:r>
            <w:r>
              <w:rPr>
                <w:rFonts w:ascii="Verdana" w:hAnsi="Verdana"/>
                <w:sz w:val="18"/>
                <w:szCs w:val="18"/>
              </w:rPr>
              <w:t>0</w:t>
            </w:r>
            <w:r w:rsidR="00704427">
              <w:rPr>
                <w:rFonts w:ascii="Verdana" w:hAnsi="Verdana"/>
                <w:sz w:val="18"/>
                <w:szCs w:val="18"/>
              </w:rPr>
              <w:t>3</w:t>
            </w:r>
          </w:p>
        </w:tc>
        <w:tc>
          <w:tcPr>
            <w:tcW w:w="6365" w:type="dxa"/>
            <w:vAlign w:val="center"/>
          </w:tcPr>
          <w:p w14:paraId="5F3AD8B6" w14:textId="0618428A" w:rsidR="009F6F8E" w:rsidRPr="007E0A6A" w:rsidRDefault="00704427" w:rsidP="00CB6F74">
            <w:pPr>
              <w:rPr>
                <w:rFonts w:ascii="Verdana" w:hAnsi="Verdana"/>
                <w:sz w:val="18"/>
                <w:szCs w:val="18"/>
              </w:rPr>
            </w:pPr>
            <w:r>
              <w:rPr>
                <w:rFonts w:ascii="Verdana" w:hAnsi="Verdana"/>
                <w:sz w:val="18"/>
                <w:szCs w:val="18"/>
              </w:rPr>
              <w:t>Chapter 5 – Process Charting Methods</w:t>
            </w:r>
          </w:p>
        </w:tc>
        <w:tc>
          <w:tcPr>
            <w:tcW w:w="3353" w:type="dxa"/>
            <w:vAlign w:val="center"/>
          </w:tcPr>
          <w:p w14:paraId="6F98A451" w14:textId="798761C3" w:rsidR="009F6F8E" w:rsidRDefault="00704427" w:rsidP="00704427">
            <w:pPr>
              <w:spacing w:before="120"/>
              <w:rPr>
                <w:rFonts w:ascii="Verdana" w:hAnsi="Verdana"/>
                <w:sz w:val="18"/>
                <w:szCs w:val="18"/>
              </w:rPr>
            </w:pPr>
            <w:r>
              <w:rPr>
                <w:rFonts w:ascii="Verdana" w:hAnsi="Verdana"/>
                <w:sz w:val="18"/>
                <w:szCs w:val="18"/>
              </w:rPr>
              <w:t>Chapter 5 - Stanton</w:t>
            </w:r>
          </w:p>
          <w:p w14:paraId="5900FD45" w14:textId="77777777" w:rsidR="009F6F8E" w:rsidRPr="007E0A6A" w:rsidRDefault="009F6F8E" w:rsidP="00B374E0">
            <w:pPr>
              <w:rPr>
                <w:rFonts w:ascii="Verdana" w:hAnsi="Verdana"/>
                <w:sz w:val="18"/>
                <w:szCs w:val="18"/>
              </w:rPr>
            </w:pPr>
          </w:p>
        </w:tc>
      </w:tr>
      <w:tr w:rsidR="009F6F8E" w:rsidRPr="007E0A6A" w14:paraId="0B5AEA4E" w14:textId="77777777" w:rsidTr="00CB6F74">
        <w:tc>
          <w:tcPr>
            <w:tcW w:w="740" w:type="dxa"/>
            <w:shd w:val="clear" w:color="auto" w:fill="FFFFCC"/>
            <w:vAlign w:val="center"/>
          </w:tcPr>
          <w:p w14:paraId="461D2A7E" w14:textId="7764FC8A" w:rsidR="009F6F8E" w:rsidRPr="007E0A6A" w:rsidRDefault="009F6F8E" w:rsidP="00CB6F74">
            <w:pPr>
              <w:rPr>
                <w:rFonts w:ascii="Verdana" w:hAnsi="Verdana"/>
                <w:sz w:val="18"/>
                <w:szCs w:val="18"/>
              </w:rPr>
            </w:pPr>
            <w:r w:rsidRPr="007E0A6A">
              <w:rPr>
                <w:rFonts w:ascii="Verdana" w:hAnsi="Verdana"/>
                <w:sz w:val="18"/>
                <w:szCs w:val="18"/>
              </w:rPr>
              <w:t>3/1</w:t>
            </w:r>
            <w:r w:rsidR="00704427">
              <w:rPr>
                <w:rFonts w:ascii="Verdana" w:hAnsi="Verdana"/>
                <w:sz w:val="18"/>
                <w:szCs w:val="18"/>
              </w:rPr>
              <w:t>0</w:t>
            </w:r>
          </w:p>
        </w:tc>
        <w:tc>
          <w:tcPr>
            <w:tcW w:w="6365" w:type="dxa"/>
            <w:shd w:val="clear" w:color="auto" w:fill="FFFFCC"/>
            <w:vAlign w:val="center"/>
          </w:tcPr>
          <w:p w14:paraId="67F3FE96" w14:textId="77777777" w:rsidR="009F6F8E" w:rsidRPr="007E0A6A" w:rsidRDefault="009F6F8E" w:rsidP="00CB6F74">
            <w:pPr>
              <w:rPr>
                <w:rFonts w:ascii="Verdana" w:hAnsi="Verdana"/>
                <w:b/>
                <w:sz w:val="18"/>
                <w:szCs w:val="18"/>
              </w:rPr>
            </w:pPr>
            <w:r w:rsidRPr="007E0A6A">
              <w:rPr>
                <w:rFonts w:ascii="Verdana" w:hAnsi="Verdana"/>
                <w:b/>
                <w:sz w:val="18"/>
                <w:szCs w:val="18"/>
              </w:rPr>
              <w:t>Spring Break</w:t>
            </w:r>
          </w:p>
        </w:tc>
        <w:tc>
          <w:tcPr>
            <w:tcW w:w="3353" w:type="dxa"/>
            <w:shd w:val="clear" w:color="auto" w:fill="FFFFCC"/>
            <w:vAlign w:val="center"/>
          </w:tcPr>
          <w:p w14:paraId="167AA007" w14:textId="77777777" w:rsidR="009F6F8E" w:rsidRPr="007E0A6A" w:rsidRDefault="009F6F8E" w:rsidP="00CB6F74">
            <w:pPr>
              <w:rPr>
                <w:rFonts w:ascii="Verdana" w:hAnsi="Verdana"/>
                <w:sz w:val="18"/>
                <w:szCs w:val="18"/>
              </w:rPr>
            </w:pPr>
          </w:p>
          <w:p w14:paraId="7959F6B8" w14:textId="77777777" w:rsidR="009F6F8E" w:rsidRPr="007E0A6A" w:rsidRDefault="009F6F8E" w:rsidP="00CB6F74">
            <w:pPr>
              <w:rPr>
                <w:rFonts w:ascii="Verdana" w:hAnsi="Verdana"/>
                <w:sz w:val="18"/>
                <w:szCs w:val="18"/>
              </w:rPr>
            </w:pPr>
          </w:p>
        </w:tc>
      </w:tr>
      <w:tr w:rsidR="009F6F8E" w:rsidRPr="007E0A6A" w14:paraId="72CF867C" w14:textId="77777777" w:rsidTr="00333422">
        <w:trPr>
          <w:trHeight w:val="593"/>
        </w:trPr>
        <w:tc>
          <w:tcPr>
            <w:tcW w:w="740" w:type="dxa"/>
            <w:vAlign w:val="center"/>
          </w:tcPr>
          <w:p w14:paraId="39DB76BF" w14:textId="43078F07" w:rsidR="009F6F8E" w:rsidRPr="007E0A6A" w:rsidRDefault="009F6F8E" w:rsidP="00CB6F74">
            <w:pPr>
              <w:rPr>
                <w:rFonts w:ascii="Verdana" w:hAnsi="Verdana"/>
                <w:sz w:val="18"/>
                <w:szCs w:val="18"/>
              </w:rPr>
            </w:pPr>
            <w:r>
              <w:rPr>
                <w:rFonts w:ascii="Verdana" w:hAnsi="Verdana"/>
                <w:sz w:val="18"/>
                <w:szCs w:val="18"/>
              </w:rPr>
              <w:t>3/1</w:t>
            </w:r>
            <w:r w:rsidR="00704427">
              <w:rPr>
                <w:rFonts w:ascii="Verdana" w:hAnsi="Verdana"/>
                <w:sz w:val="18"/>
                <w:szCs w:val="18"/>
              </w:rPr>
              <w:t>7</w:t>
            </w:r>
          </w:p>
        </w:tc>
        <w:tc>
          <w:tcPr>
            <w:tcW w:w="6365" w:type="dxa"/>
            <w:vAlign w:val="center"/>
          </w:tcPr>
          <w:p w14:paraId="33675102" w14:textId="56AF46F9" w:rsidR="009F6F8E" w:rsidRPr="007E0A6A" w:rsidRDefault="00704427" w:rsidP="00CB6F74">
            <w:pPr>
              <w:rPr>
                <w:rFonts w:ascii="Verdana" w:hAnsi="Verdana"/>
                <w:sz w:val="18"/>
                <w:szCs w:val="18"/>
              </w:rPr>
            </w:pPr>
            <w:r>
              <w:rPr>
                <w:rFonts w:ascii="Verdana" w:hAnsi="Verdana"/>
                <w:sz w:val="18"/>
                <w:szCs w:val="18"/>
              </w:rPr>
              <w:t>Chapters 1</w:t>
            </w:r>
            <w:r w:rsidR="00333422">
              <w:rPr>
                <w:rFonts w:ascii="Verdana" w:hAnsi="Verdana"/>
                <w:sz w:val="18"/>
                <w:szCs w:val="18"/>
              </w:rPr>
              <w:t xml:space="preserve">, </w:t>
            </w:r>
            <w:r>
              <w:rPr>
                <w:rFonts w:ascii="Verdana" w:hAnsi="Verdana"/>
                <w:sz w:val="18"/>
                <w:szCs w:val="18"/>
              </w:rPr>
              <w:t xml:space="preserve">2 </w:t>
            </w:r>
            <w:r w:rsidR="00333422">
              <w:rPr>
                <w:rFonts w:ascii="Verdana" w:hAnsi="Verdana"/>
                <w:sz w:val="18"/>
                <w:szCs w:val="18"/>
              </w:rPr>
              <w:t xml:space="preserve">&amp; 3 </w:t>
            </w:r>
            <w:r>
              <w:rPr>
                <w:rFonts w:ascii="Verdana" w:hAnsi="Verdana"/>
                <w:sz w:val="18"/>
                <w:szCs w:val="18"/>
              </w:rPr>
              <w:t xml:space="preserve">Use Cases </w:t>
            </w:r>
            <w:r w:rsidR="00467F86">
              <w:rPr>
                <w:rFonts w:ascii="Verdana" w:hAnsi="Verdana"/>
                <w:sz w:val="18"/>
                <w:szCs w:val="18"/>
              </w:rPr>
              <w:t>Introduction</w:t>
            </w:r>
            <w:r w:rsidR="00333422">
              <w:rPr>
                <w:rFonts w:ascii="Verdana" w:hAnsi="Verdana"/>
                <w:sz w:val="18"/>
                <w:szCs w:val="18"/>
              </w:rPr>
              <w:t>,</w:t>
            </w:r>
            <w:r w:rsidR="00467F86">
              <w:rPr>
                <w:rFonts w:ascii="Verdana" w:hAnsi="Verdana"/>
                <w:sz w:val="18"/>
                <w:szCs w:val="18"/>
              </w:rPr>
              <w:t xml:space="preserve"> The Use Case as a Contract for Behavior</w:t>
            </w:r>
            <w:r w:rsidR="00333422">
              <w:rPr>
                <w:rFonts w:ascii="Verdana" w:hAnsi="Verdana"/>
                <w:sz w:val="18"/>
                <w:szCs w:val="18"/>
              </w:rPr>
              <w:t>, Scope</w:t>
            </w:r>
          </w:p>
        </w:tc>
        <w:tc>
          <w:tcPr>
            <w:tcW w:w="3353" w:type="dxa"/>
            <w:vAlign w:val="center"/>
          </w:tcPr>
          <w:p w14:paraId="1D9B887B" w14:textId="1CA0A662" w:rsidR="009F6F8E" w:rsidRPr="007E0A6A" w:rsidRDefault="00704427" w:rsidP="00CB6F74">
            <w:pPr>
              <w:rPr>
                <w:rFonts w:ascii="Verdana" w:hAnsi="Verdana"/>
                <w:sz w:val="18"/>
                <w:szCs w:val="18"/>
              </w:rPr>
            </w:pPr>
            <w:r>
              <w:rPr>
                <w:rFonts w:ascii="Verdana" w:hAnsi="Verdana"/>
                <w:sz w:val="18"/>
                <w:szCs w:val="18"/>
              </w:rPr>
              <w:t>Chapters 1</w:t>
            </w:r>
            <w:r w:rsidR="00333422">
              <w:rPr>
                <w:rFonts w:ascii="Verdana" w:hAnsi="Verdana"/>
                <w:sz w:val="18"/>
                <w:szCs w:val="18"/>
              </w:rPr>
              <w:t xml:space="preserve">, 2, &amp; 3 </w:t>
            </w:r>
            <w:r>
              <w:rPr>
                <w:rFonts w:ascii="Verdana" w:hAnsi="Verdana"/>
                <w:sz w:val="18"/>
                <w:szCs w:val="18"/>
              </w:rPr>
              <w:t xml:space="preserve">Cockburn </w:t>
            </w:r>
          </w:p>
        </w:tc>
      </w:tr>
      <w:tr w:rsidR="009F6F8E" w:rsidRPr="007E0A6A" w14:paraId="607F5371" w14:textId="77777777" w:rsidTr="00467F86">
        <w:trPr>
          <w:trHeight w:val="350"/>
        </w:trPr>
        <w:tc>
          <w:tcPr>
            <w:tcW w:w="740" w:type="dxa"/>
            <w:vAlign w:val="center"/>
          </w:tcPr>
          <w:p w14:paraId="1E673EE8" w14:textId="5D7146E7" w:rsidR="009F6F8E" w:rsidRPr="007E0A6A" w:rsidRDefault="009F6F8E" w:rsidP="00CB6F74">
            <w:pPr>
              <w:rPr>
                <w:rFonts w:ascii="Verdana" w:hAnsi="Verdana"/>
                <w:sz w:val="18"/>
                <w:szCs w:val="18"/>
              </w:rPr>
            </w:pPr>
            <w:r>
              <w:rPr>
                <w:rFonts w:ascii="Verdana" w:hAnsi="Verdana"/>
                <w:sz w:val="18"/>
                <w:szCs w:val="18"/>
              </w:rPr>
              <w:t>3/2</w:t>
            </w:r>
            <w:r w:rsidR="00704427">
              <w:rPr>
                <w:rFonts w:ascii="Verdana" w:hAnsi="Verdana"/>
                <w:sz w:val="18"/>
                <w:szCs w:val="18"/>
              </w:rPr>
              <w:t>4</w:t>
            </w:r>
          </w:p>
        </w:tc>
        <w:tc>
          <w:tcPr>
            <w:tcW w:w="6365" w:type="dxa"/>
            <w:vAlign w:val="center"/>
          </w:tcPr>
          <w:p w14:paraId="3777C9FB" w14:textId="713C8781" w:rsidR="009F6F8E" w:rsidRPr="007E0A6A" w:rsidRDefault="00467F86" w:rsidP="00467F86">
            <w:pPr>
              <w:spacing w:before="120"/>
              <w:rPr>
                <w:rFonts w:ascii="Verdana" w:hAnsi="Verdana"/>
                <w:sz w:val="18"/>
                <w:szCs w:val="18"/>
              </w:rPr>
            </w:pPr>
            <w:r>
              <w:rPr>
                <w:rFonts w:ascii="Verdana" w:hAnsi="Verdana"/>
                <w:sz w:val="18"/>
                <w:szCs w:val="18"/>
              </w:rPr>
              <w:t>Chapter 4</w:t>
            </w:r>
            <w:r w:rsidR="00333422">
              <w:rPr>
                <w:rFonts w:ascii="Verdana" w:hAnsi="Verdana"/>
                <w:sz w:val="18"/>
                <w:szCs w:val="18"/>
              </w:rPr>
              <w:t>, 6 &amp; 7</w:t>
            </w:r>
            <w:r>
              <w:rPr>
                <w:rFonts w:ascii="Verdana" w:hAnsi="Verdana"/>
                <w:sz w:val="18"/>
                <w:szCs w:val="18"/>
              </w:rPr>
              <w:t xml:space="preserve"> </w:t>
            </w:r>
            <w:r w:rsidR="00333422">
              <w:rPr>
                <w:rFonts w:ascii="Verdana" w:hAnsi="Verdana"/>
                <w:sz w:val="18"/>
                <w:szCs w:val="18"/>
              </w:rPr>
              <w:t xml:space="preserve">Stakeholders &amp; Actors; Preconditions, Triggers, and Guarantees; Scenarios &amp; Steps </w:t>
            </w:r>
          </w:p>
        </w:tc>
        <w:tc>
          <w:tcPr>
            <w:tcW w:w="3353" w:type="dxa"/>
            <w:vAlign w:val="center"/>
          </w:tcPr>
          <w:p w14:paraId="6D4DE60C" w14:textId="16C285A7" w:rsidR="009F6F8E" w:rsidRPr="007E0A6A" w:rsidRDefault="00333422" w:rsidP="00B374E0">
            <w:pPr>
              <w:rPr>
                <w:rFonts w:ascii="Verdana" w:hAnsi="Verdana"/>
                <w:sz w:val="18"/>
                <w:szCs w:val="18"/>
              </w:rPr>
            </w:pPr>
            <w:r>
              <w:rPr>
                <w:rFonts w:ascii="Verdana" w:hAnsi="Verdana"/>
                <w:sz w:val="18"/>
                <w:szCs w:val="18"/>
              </w:rPr>
              <w:t>Chapters 4, 6, &amp; 7 Cockburn</w:t>
            </w:r>
          </w:p>
        </w:tc>
      </w:tr>
      <w:tr w:rsidR="009F6F8E" w:rsidRPr="007E0A6A" w14:paraId="4A0D4235" w14:textId="77777777" w:rsidTr="00333422">
        <w:trPr>
          <w:trHeight w:val="485"/>
        </w:trPr>
        <w:tc>
          <w:tcPr>
            <w:tcW w:w="740" w:type="dxa"/>
            <w:vAlign w:val="center"/>
          </w:tcPr>
          <w:p w14:paraId="0FB10446" w14:textId="75A8CDFD" w:rsidR="009F6F8E" w:rsidRPr="007E0A6A" w:rsidRDefault="00467F86" w:rsidP="00CB6F74">
            <w:pPr>
              <w:rPr>
                <w:rFonts w:ascii="Verdana" w:hAnsi="Verdana"/>
                <w:sz w:val="18"/>
                <w:szCs w:val="18"/>
              </w:rPr>
            </w:pPr>
            <w:r>
              <w:rPr>
                <w:rFonts w:ascii="Verdana" w:hAnsi="Verdana"/>
                <w:sz w:val="18"/>
                <w:szCs w:val="18"/>
              </w:rPr>
              <w:t>3/31</w:t>
            </w:r>
          </w:p>
        </w:tc>
        <w:tc>
          <w:tcPr>
            <w:tcW w:w="6365" w:type="dxa"/>
            <w:vAlign w:val="center"/>
          </w:tcPr>
          <w:p w14:paraId="14FDAC54" w14:textId="353DF686" w:rsidR="009F6F8E" w:rsidRPr="007E0A6A" w:rsidRDefault="00467F86" w:rsidP="00CB6F74">
            <w:pPr>
              <w:rPr>
                <w:rFonts w:ascii="Verdana" w:hAnsi="Verdana"/>
                <w:sz w:val="18"/>
                <w:szCs w:val="18"/>
              </w:rPr>
            </w:pPr>
            <w:r>
              <w:rPr>
                <w:rFonts w:ascii="Verdana" w:hAnsi="Verdana"/>
                <w:sz w:val="18"/>
                <w:szCs w:val="18"/>
              </w:rPr>
              <w:t xml:space="preserve">Chapter 10 </w:t>
            </w:r>
            <w:r w:rsidR="00333422">
              <w:rPr>
                <w:rFonts w:ascii="Verdana" w:hAnsi="Verdana"/>
                <w:sz w:val="18"/>
                <w:szCs w:val="18"/>
              </w:rPr>
              <w:t>Interface Analysis Methods</w:t>
            </w:r>
          </w:p>
        </w:tc>
        <w:tc>
          <w:tcPr>
            <w:tcW w:w="3353" w:type="dxa"/>
            <w:vAlign w:val="center"/>
          </w:tcPr>
          <w:p w14:paraId="62C8BD26" w14:textId="6D9354B3" w:rsidR="009F6F8E" w:rsidRPr="007E0A6A" w:rsidRDefault="00333422" w:rsidP="00CB6F74">
            <w:pPr>
              <w:rPr>
                <w:rFonts w:ascii="Verdana" w:hAnsi="Verdana"/>
                <w:sz w:val="18"/>
                <w:szCs w:val="18"/>
              </w:rPr>
            </w:pPr>
            <w:r>
              <w:rPr>
                <w:rFonts w:ascii="Verdana" w:hAnsi="Verdana"/>
                <w:sz w:val="18"/>
                <w:szCs w:val="18"/>
              </w:rPr>
              <w:t>Chapter 10 Stanton</w:t>
            </w:r>
          </w:p>
        </w:tc>
      </w:tr>
      <w:tr w:rsidR="009F6F8E" w:rsidRPr="007E0A6A" w14:paraId="583EFF9B" w14:textId="77777777" w:rsidTr="00333422">
        <w:trPr>
          <w:trHeight w:val="530"/>
        </w:trPr>
        <w:tc>
          <w:tcPr>
            <w:tcW w:w="740" w:type="dxa"/>
            <w:vAlign w:val="center"/>
          </w:tcPr>
          <w:p w14:paraId="79B1B834" w14:textId="6046053A" w:rsidR="009F6F8E" w:rsidRPr="007E0A6A" w:rsidRDefault="009F6F8E" w:rsidP="00CB6F74">
            <w:pPr>
              <w:rPr>
                <w:rFonts w:ascii="Verdana" w:hAnsi="Verdana"/>
                <w:sz w:val="18"/>
                <w:szCs w:val="18"/>
              </w:rPr>
            </w:pPr>
            <w:r>
              <w:rPr>
                <w:rFonts w:ascii="Verdana" w:hAnsi="Verdana"/>
                <w:sz w:val="18"/>
                <w:szCs w:val="18"/>
              </w:rPr>
              <w:t>4/0</w:t>
            </w:r>
            <w:r w:rsidR="00333422">
              <w:rPr>
                <w:rFonts w:ascii="Verdana" w:hAnsi="Verdana"/>
                <w:sz w:val="18"/>
                <w:szCs w:val="18"/>
              </w:rPr>
              <w:t>7</w:t>
            </w:r>
          </w:p>
        </w:tc>
        <w:tc>
          <w:tcPr>
            <w:tcW w:w="6365" w:type="dxa"/>
            <w:vAlign w:val="center"/>
          </w:tcPr>
          <w:p w14:paraId="0E83DFAD" w14:textId="1F62455B" w:rsidR="009F6F8E" w:rsidRPr="007E0A6A" w:rsidRDefault="00333422" w:rsidP="00CB6F74">
            <w:pPr>
              <w:rPr>
                <w:rFonts w:ascii="Verdana" w:hAnsi="Verdana"/>
                <w:sz w:val="18"/>
                <w:szCs w:val="18"/>
              </w:rPr>
            </w:pPr>
            <w:r>
              <w:rPr>
                <w:rFonts w:ascii="Verdana" w:hAnsi="Verdana"/>
                <w:sz w:val="18"/>
                <w:szCs w:val="18"/>
              </w:rPr>
              <w:t>Chapter 11 Design Methods</w:t>
            </w:r>
          </w:p>
        </w:tc>
        <w:tc>
          <w:tcPr>
            <w:tcW w:w="3353" w:type="dxa"/>
            <w:vAlign w:val="center"/>
          </w:tcPr>
          <w:p w14:paraId="7428B1EE" w14:textId="0DD7B86E" w:rsidR="009F6F8E" w:rsidRPr="007E0A6A" w:rsidRDefault="00333422" w:rsidP="00CB6F74">
            <w:pPr>
              <w:rPr>
                <w:rFonts w:ascii="Verdana" w:hAnsi="Verdana"/>
                <w:sz w:val="18"/>
                <w:szCs w:val="18"/>
              </w:rPr>
            </w:pPr>
            <w:r>
              <w:rPr>
                <w:rFonts w:ascii="Verdana" w:hAnsi="Verdana"/>
                <w:sz w:val="18"/>
                <w:szCs w:val="18"/>
              </w:rPr>
              <w:t>Chapter 10 Stanton</w:t>
            </w:r>
          </w:p>
        </w:tc>
      </w:tr>
      <w:tr w:rsidR="009F6F8E" w:rsidRPr="007E0A6A" w14:paraId="7D8763CD" w14:textId="77777777" w:rsidTr="00333422">
        <w:trPr>
          <w:trHeight w:val="350"/>
        </w:trPr>
        <w:tc>
          <w:tcPr>
            <w:tcW w:w="740" w:type="dxa"/>
            <w:vAlign w:val="center"/>
          </w:tcPr>
          <w:p w14:paraId="03E0B8CD" w14:textId="32454CBB" w:rsidR="009F6F8E" w:rsidRPr="007E0A6A" w:rsidRDefault="009F6F8E" w:rsidP="00CB6F74">
            <w:pPr>
              <w:rPr>
                <w:rFonts w:ascii="Verdana" w:hAnsi="Verdana"/>
                <w:sz w:val="18"/>
                <w:szCs w:val="18"/>
              </w:rPr>
            </w:pPr>
            <w:r>
              <w:rPr>
                <w:rFonts w:ascii="Verdana" w:hAnsi="Verdana"/>
                <w:sz w:val="18"/>
                <w:szCs w:val="18"/>
              </w:rPr>
              <w:lastRenderedPageBreak/>
              <w:t>4/1</w:t>
            </w:r>
            <w:r w:rsidR="00333422">
              <w:rPr>
                <w:rFonts w:ascii="Verdana" w:hAnsi="Verdana"/>
                <w:sz w:val="18"/>
                <w:szCs w:val="18"/>
              </w:rPr>
              <w:t>4</w:t>
            </w:r>
          </w:p>
        </w:tc>
        <w:tc>
          <w:tcPr>
            <w:tcW w:w="6365" w:type="dxa"/>
            <w:vAlign w:val="center"/>
          </w:tcPr>
          <w:p w14:paraId="5F1E3BA1" w14:textId="562BC4A6" w:rsidR="009F6F8E" w:rsidRPr="007E0A6A" w:rsidRDefault="00333422" w:rsidP="00CB6F74">
            <w:pPr>
              <w:rPr>
                <w:rFonts w:ascii="Verdana" w:hAnsi="Verdana"/>
                <w:sz w:val="18"/>
                <w:szCs w:val="18"/>
              </w:rPr>
            </w:pPr>
            <w:r>
              <w:rPr>
                <w:rFonts w:ascii="Verdana" w:hAnsi="Verdana"/>
                <w:sz w:val="18"/>
                <w:szCs w:val="18"/>
              </w:rPr>
              <w:t>Usability Testing – Writing the Report, Creating Task Scenarios</w:t>
            </w:r>
          </w:p>
        </w:tc>
        <w:tc>
          <w:tcPr>
            <w:tcW w:w="3353" w:type="dxa"/>
            <w:vAlign w:val="center"/>
          </w:tcPr>
          <w:p w14:paraId="25E2814E" w14:textId="3831B968" w:rsidR="009F6F8E" w:rsidRPr="007E0A6A" w:rsidRDefault="00333422" w:rsidP="00CB6F74">
            <w:pPr>
              <w:rPr>
                <w:rFonts w:ascii="Verdana" w:hAnsi="Verdana"/>
                <w:sz w:val="18"/>
                <w:szCs w:val="18"/>
              </w:rPr>
            </w:pPr>
            <w:r>
              <w:rPr>
                <w:rFonts w:ascii="Verdana" w:hAnsi="Verdana"/>
                <w:sz w:val="18"/>
                <w:szCs w:val="18"/>
              </w:rPr>
              <w:t>Other Materials</w:t>
            </w:r>
          </w:p>
        </w:tc>
      </w:tr>
      <w:tr w:rsidR="009F6F8E" w:rsidRPr="007E0A6A" w14:paraId="5A641314" w14:textId="77777777" w:rsidTr="00CB6F74">
        <w:tc>
          <w:tcPr>
            <w:tcW w:w="740" w:type="dxa"/>
            <w:vAlign w:val="center"/>
          </w:tcPr>
          <w:p w14:paraId="4E0CA0D7" w14:textId="25B38641" w:rsidR="009F6F8E" w:rsidRPr="007E0A6A" w:rsidRDefault="009F6F8E" w:rsidP="00CB6F74">
            <w:pPr>
              <w:rPr>
                <w:rFonts w:ascii="Verdana" w:hAnsi="Verdana"/>
                <w:sz w:val="18"/>
                <w:szCs w:val="18"/>
              </w:rPr>
            </w:pPr>
            <w:r>
              <w:rPr>
                <w:rFonts w:ascii="Verdana" w:hAnsi="Verdana"/>
                <w:sz w:val="18"/>
                <w:szCs w:val="18"/>
              </w:rPr>
              <w:t>4/2</w:t>
            </w:r>
            <w:r w:rsidR="00333422">
              <w:rPr>
                <w:rFonts w:ascii="Verdana" w:hAnsi="Verdana"/>
                <w:sz w:val="18"/>
                <w:szCs w:val="18"/>
              </w:rPr>
              <w:t>1</w:t>
            </w:r>
          </w:p>
        </w:tc>
        <w:tc>
          <w:tcPr>
            <w:tcW w:w="6365" w:type="dxa"/>
            <w:vAlign w:val="center"/>
          </w:tcPr>
          <w:p w14:paraId="55832B33" w14:textId="55EBEB78" w:rsidR="009F6F8E" w:rsidRPr="007E0A6A" w:rsidRDefault="00333422" w:rsidP="00CB6F74">
            <w:pPr>
              <w:rPr>
                <w:rFonts w:ascii="Verdana" w:hAnsi="Verdana"/>
                <w:b/>
                <w:sz w:val="18"/>
                <w:szCs w:val="18"/>
              </w:rPr>
            </w:pPr>
            <w:r>
              <w:rPr>
                <w:rFonts w:ascii="Verdana" w:hAnsi="Verdana"/>
                <w:b/>
                <w:sz w:val="18"/>
                <w:szCs w:val="18"/>
              </w:rPr>
              <w:t>Prototyping</w:t>
            </w:r>
          </w:p>
        </w:tc>
        <w:tc>
          <w:tcPr>
            <w:tcW w:w="3353" w:type="dxa"/>
            <w:vAlign w:val="center"/>
          </w:tcPr>
          <w:p w14:paraId="241D2E3A" w14:textId="2725014C" w:rsidR="009F6F8E" w:rsidRPr="00333422" w:rsidRDefault="00333422" w:rsidP="00333422">
            <w:pPr>
              <w:spacing w:before="120"/>
              <w:rPr>
                <w:rFonts w:ascii="Verdana" w:hAnsi="Verdana"/>
                <w:bCs/>
                <w:sz w:val="18"/>
                <w:szCs w:val="18"/>
              </w:rPr>
            </w:pPr>
            <w:r w:rsidRPr="00333422">
              <w:rPr>
                <w:rFonts w:ascii="Verdana" w:hAnsi="Verdana"/>
                <w:bCs/>
                <w:sz w:val="18"/>
                <w:szCs w:val="18"/>
              </w:rPr>
              <w:t>Other Materials</w:t>
            </w:r>
          </w:p>
          <w:p w14:paraId="0E8333BA" w14:textId="77777777" w:rsidR="009F6F8E" w:rsidRPr="00333422" w:rsidRDefault="009F6F8E" w:rsidP="00CB6F74">
            <w:pPr>
              <w:rPr>
                <w:rFonts w:ascii="Verdana" w:hAnsi="Verdana"/>
                <w:bCs/>
                <w:sz w:val="18"/>
                <w:szCs w:val="18"/>
              </w:rPr>
            </w:pPr>
          </w:p>
        </w:tc>
      </w:tr>
      <w:tr w:rsidR="009F6F8E" w:rsidRPr="007E0A6A" w14:paraId="022A93D2" w14:textId="77777777" w:rsidTr="00CB6F74">
        <w:tc>
          <w:tcPr>
            <w:tcW w:w="740" w:type="dxa"/>
            <w:vAlign w:val="center"/>
          </w:tcPr>
          <w:p w14:paraId="4C3CBC0F" w14:textId="47067F59" w:rsidR="009F6F8E" w:rsidRPr="007E0A6A" w:rsidRDefault="009F6F8E" w:rsidP="00CB6F74">
            <w:pPr>
              <w:rPr>
                <w:rFonts w:ascii="Verdana" w:hAnsi="Verdana"/>
                <w:sz w:val="18"/>
                <w:szCs w:val="18"/>
              </w:rPr>
            </w:pPr>
            <w:r>
              <w:rPr>
                <w:rFonts w:ascii="Verdana" w:hAnsi="Verdana"/>
                <w:sz w:val="18"/>
                <w:szCs w:val="18"/>
              </w:rPr>
              <w:t>4/</w:t>
            </w:r>
            <w:r w:rsidR="00333422">
              <w:rPr>
                <w:rFonts w:ascii="Verdana" w:hAnsi="Verdana"/>
                <w:sz w:val="18"/>
                <w:szCs w:val="18"/>
              </w:rPr>
              <w:t>8</w:t>
            </w:r>
            <w:r>
              <w:rPr>
                <w:rFonts w:ascii="Verdana" w:hAnsi="Verdana"/>
                <w:sz w:val="18"/>
                <w:szCs w:val="18"/>
              </w:rPr>
              <w:t>9</w:t>
            </w:r>
          </w:p>
        </w:tc>
        <w:tc>
          <w:tcPr>
            <w:tcW w:w="6365" w:type="dxa"/>
            <w:vAlign w:val="center"/>
          </w:tcPr>
          <w:p w14:paraId="51076477" w14:textId="77777777" w:rsidR="009F6F8E" w:rsidRPr="007E0A6A" w:rsidRDefault="009F6F8E" w:rsidP="00CB6F74">
            <w:pPr>
              <w:rPr>
                <w:rFonts w:ascii="Verdana" w:hAnsi="Verdana"/>
                <w:b/>
                <w:sz w:val="18"/>
                <w:szCs w:val="18"/>
              </w:rPr>
            </w:pPr>
            <w:r w:rsidRPr="007E0A6A">
              <w:rPr>
                <w:rFonts w:ascii="Verdana" w:hAnsi="Verdana"/>
                <w:b/>
                <w:sz w:val="18"/>
                <w:szCs w:val="18"/>
              </w:rPr>
              <w:t xml:space="preserve">Project Presentations  </w:t>
            </w:r>
          </w:p>
        </w:tc>
        <w:tc>
          <w:tcPr>
            <w:tcW w:w="3353" w:type="dxa"/>
            <w:vAlign w:val="center"/>
          </w:tcPr>
          <w:p w14:paraId="23A5FAFB" w14:textId="77777777" w:rsidR="009F6F8E" w:rsidRPr="007E0A6A" w:rsidRDefault="009F6F8E" w:rsidP="00CB6F74">
            <w:pPr>
              <w:rPr>
                <w:rFonts w:ascii="Verdana" w:hAnsi="Verdana"/>
                <w:b/>
                <w:sz w:val="18"/>
                <w:szCs w:val="18"/>
              </w:rPr>
            </w:pPr>
          </w:p>
          <w:p w14:paraId="319A292E" w14:textId="77777777" w:rsidR="009F6F8E" w:rsidRPr="007E0A6A" w:rsidRDefault="009F6F8E" w:rsidP="00CB6F74">
            <w:pPr>
              <w:rPr>
                <w:rFonts w:ascii="Verdana" w:hAnsi="Verdana"/>
                <w:b/>
                <w:sz w:val="18"/>
                <w:szCs w:val="18"/>
              </w:rPr>
            </w:pPr>
          </w:p>
        </w:tc>
      </w:tr>
      <w:tr w:rsidR="009F6F8E" w:rsidRPr="007E0A6A" w14:paraId="10935C9F" w14:textId="77777777" w:rsidTr="00333422">
        <w:trPr>
          <w:trHeight w:val="350"/>
        </w:trPr>
        <w:tc>
          <w:tcPr>
            <w:tcW w:w="740" w:type="dxa"/>
            <w:vAlign w:val="center"/>
          </w:tcPr>
          <w:p w14:paraId="3675850E" w14:textId="77777777" w:rsidR="009F6F8E" w:rsidRPr="007E0A6A" w:rsidRDefault="009F6F8E" w:rsidP="00CB6F74">
            <w:pPr>
              <w:rPr>
                <w:rFonts w:ascii="Verdana" w:hAnsi="Verdana"/>
                <w:sz w:val="18"/>
                <w:szCs w:val="18"/>
              </w:rPr>
            </w:pPr>
            <w:r>
              <w:rPr>
                <w:rFonts w:ascii="Verdana" w:hAnsi="Verdana"/>
                <w:sz w:val="18"/>
                <w:szCs w:val="18"/>
              </w:rPr>
              <w:t>5/06</w:t>
            </w:r>
          </w:p>
        </w:tc>
        <w:tc>
          <w:tcPr>
            <w:tcW w:w="6365" w:type="dxa"/>
            <w:vAlign w:val="center"/>
          </w:tcPr>
          <w:p w14:paraId="557E328B" w14:textId="77777777" w:rsidR="009F6F8E" w:rsidRPr="007E0A6A" w:rsidRDefault="009F6F8E" w:rsidP="00CB6F74">
            <w:pPr>
              <w:rPr>
                <w:rFonts w:ascii="Verdana" w:hAnsi="Verdana"/>
                <w:b/>
                <w:sz w:val="18"/>
                <w:szCs w:val="18"/>
              </w:rPr>
            </w:pPr>
            <w:r w:rsidRPr="007E0A6A">
              <w:rPr>
                <w:rFonts w:ascii="Verdana" w:hAnsi="Verdana"/>
                <w:b/>
                <w:sz w:val="18"/>
                <w:szCs w:val="18"/>
              </w:rPr>
              <w:t xml:space="preserve">Exam Week </w:t>
            </w:r>
            <w:r>
              <w:rPr>
                <w:rFonts w:ascii="Verdana" w:hAnsi="Verdana"/>
                <w:b/>
                <w:sz w:val="18"/>
                <w:szCs w:val="18"/>
              </w:rPr>
              <w:t xml:space="preserve">– Project Presentations if Needed </w:t>
            </w:r>
          </w:p>
        </w:tc>
        <w:tc>
          <w:tcPr>
            <w:tcW w:w="3353" w:type="dxa"/>
            <w:vAlign w:val="center"/>
          </w:tcPr>
          <w:p w14:paraId="6565E1C6" w14:textId="77777777" w:rsidR="009F6F8E" w:rsidRPr="007E0A6A" w:rsidRDefault="009F6F8E" w:rsidP="00CB6F74">
            <w:pPr>
              <w:rPr>
                <w:rFonts w:ascii="Verdana" w:hAnsi="Verdana"/>
                <w:b/>
                <w:sz w:val="18"/>
                <w:szCs w:val="18"/>
              </w:rPr>
            </w:pPr>
          </w:p>
        </w:tc>
      </w:tr>
    </w:tbl>
    <w:p w14:paraId="005504A0" w14:textId="77777777" w:rsidR="009F6F8E" w:rsidRPr="009F6F8E" w:rsidRDefault="009F6F8E" w:rsidP="00FB3BDE">
      <w:pPr>
        <w:spacing w:after="0"/>
        <w:ind w:left="-450"/>
        <w:rPr>
          <w:rFonts w:ascii="Verdana" w:hAnsi="Verdana"/>
          <w:b/>
          <w:sz w:val="20"/>
          <w:szCs w:val="20"/>
        </w:rPr>
      </w:pPr>
    </w:p>
    <w:p w14:paraId="589F1ED4" w14:textId="77777777" w:rsidR="00E75C1C" w:rsidRPr="009F6F8E" w:rsidRDefault="00E75C1C" w:rsidP="00E75C1C">
      <w:pPr>
        <w:rPr>
          <w:rFonts w:ascii="Verdana" w:hAnsi="Verdana"/>
          <w:b/>
          <w:i/>
          <w:sz w:val="20"/>
          <w:szCs w:val="20"/>
        </w:rPr>
      </w:pPr>
      <w:r w:rsidRPr="009F6F8E">
        <w:rPr>
          <w:rFonts w:ascii="Verdana" w:hAnsi="Verdana"/>
          <w:b/>
          <w:i/>
          <w:sz w:val="20"/>
          <w:szCs w:val="20"/>
        </w:rPr>
        <w:t>(Note: reading assignments may change depending on the class and progress)</w:t>
      </w:r>
    </w:p>
    <w:p w14:paraId="6B6E8767" w14:textId="77777777" w:rsidR="00A664E2" w:rsidRDefault="00A664E2" w:rsidP="00F7146A">
      <w:pPr>
        <w:spacing w:after="0"/>
        <w:ind w:left="-450"/>
        <w:rPr>
          <w:rFonts w:ascii="Verdana" w:hAnsi="Verdana"/>
          <w:b/>
        </w:rPr>
      </w:pPr>
      <w:r>
        <w:rPr>
          <w:rFonts w:ascii="Verdana" w:hAnsi="Verdana"/>
          <w:b/>
        </w:rPr>
        <w:t>Grading</w:t>
      </w:r>
    </w:p>
    <w:p w14:paraId="0A4D6139" w14:textId="77777777" w:rsidR="00A664E2" w:rsidRDefault="00A664E2" w:rsidP="00A664E2">
      <w:pPr>
        <w:spacing w:after="0"/>
        <w:ind w:left="-450"/>
        <w:rPr>
          <w:rFonts w:ascii="Verdana" w:hAnsi="Verdana"/>
          <w:sz w:val="20"/>
          <w:szCs w:val="20"/>
        </w:rPr>
      </w:pPr>
      <w:r w:rsidRPr="00A664E2">
        <w:rPr>
          <w:rFonts w:ascii="Verdana" w:hAnsi="Verdana"/>
          <w:sz w:val="20"/>
          <w:szCs w:val="20"/>
        </w:rPr>
        <w:t xml:space="preserve">Letter grades will be based on a combination of: </w:t>
      </w:r>
    </w:p>
    <w:p w14:paraId="55978346" w14:textId="77777777" w:rsidR="00A664E2" w:rsidRDefault="00A664E2" w:rsidP="00A664E2">
      <w:pPr>
        <w:pStyle w:val="ListParagraph"/>
        <w:numPr>
          <w:ilvl w:val="0"/>
          <w:numId w:val="1"/>
        </w:numPr>
        <w:spacing w:after="0"/>
        <w:rPr>
          <w:rFonts w:ascii="Verdana" w:hAnsi="Verdana"/>
          <w:sz w:val="20"/>
          <w:szCs w:val="20"/>
        </w:rPr>
      </w:pPr>
      <w:r>
        <w:rPr>
          <w:rFonts w:ascii="Verdana" w:hAnsi="Verdana"/>
          <w:sz w:val="20"/>
          <w:szCs w:val="20"/>
        </w:rPr>
        <w:t>Class attendance and participation</w:t>
      </w:r>
    </w:p>
    <w:p w14:paraId="3093FDC8" w14:textId="77777777" w:rsidR="00A664E2" w:rsidRDefault="00A664E2" w:rsidP="00A664E2">
      <w:pPr>
        <w:pStyle w:val="ListParagraph"/>
        <w:numPr>
          <w:ilvl w:val="0"/>
          <w:numId w:val="1"/>
        </w:numPr>
        <w:spacing w:after="0"/>
        <w:rPr>
          <w:rFonts w:ascii="Verdana" w:hAnsi="Verdana"/>
          <w:sz w:val="20"/>
          <w:szCs w:val="20"/>
        </w:rPr>
      </w:pPr>
      <w:r>
        <w:rPr>
          <w:rFonts w:ascii="Verdana" w:hAnsi="Verdana"/>
          <w:sz w:val="20"/>
          <w:szCs w:val="20"/>
        </w:rPr>
        <w:t>Quizzes</w:t>
      </w:r>
      <w:r w:rsidR="00FB3BDE">
        <w:rPr>
          <w:rFonts w:ascii="Verdana" w:hAnsi="Verdana"/>
          <w:sz w:val="20"/>
          <w:szCs w:val="20"/>
        </w:rPr>
        <w:t xml:space="preserve"> (I expect you to come to class prepared – please do so, so quizzes aren’t needed</w:t>
      </w:r>
      <w:r w:rsidR="009F6F8E">
        <w:rPr>
          <w:rFonts w:ascii="Verdana" w:hAnsi="Verdana"/>
          <w:sz w:val="20"/>
          <w:szCs w:val="20"/>
        </w:rPr>
        <w:t>)</w:t>
      </w:r>
    </w:p>
    <w:p w14:paraId="387BA3F8" w14:textId="77777777" w:rsidR="00A664E2" w:rsidRDefault="00A664E2" w:rsidP="00A664E2">
      <w:pPr>
        <w:pStyle w:val="ListParagraph"/>
        <w:numPr>
          <w:ilvl w:val="0"/>
          <w:numId w:val="1"/>
        </w:numPr>
        <w:spacing w:after="0"/>
        <w:rPr>
          <w:rFonts w:ascii="Verdana" w:hAnsi="Verdana"/>
          <w:sz w:val="20"/>
          <w:szCs w:val="20"/>
        </w:rPr>
      </w:pPr>
      <w:r>
        <w:rPr>
          <w:rFonts w:ascii="Verdana" w:hAnsi="Verdana"/>
          <w:sz w:val="20"/>
          <w:szCs w:val="20"/>
        </w:rPr>
        <w:t>Assignments</w:t>
      </w:r>
    </w:p>
    <w:p w14:paraId="7A4E316A" w14:textId="77777777" w:rsidR="00A664E2" w:rsidRDefault="009F6F8E" w:rsidP="00A664E2">
      <w:pPr>
        <w:pStyle w:val="ListParagraph"/>
        <w:numPr>
          <w:ilvl w:val="0"/>
          <w:numId w:val="1"/>
        </w:numPr>
        <w:spacing w:after="0"/>
        <w:rPr>
          <w:rFonts w:ascii="Verdana" w:hAnsi="Verdana"/>
          <w:sz w:val="20"/>
          <w:szCs w:val="20"/>
        </w:rPr>
      </w:pPr>
      <w:r>
        <w:rPr>
          <w:rFonts w:ascii="Verdana" w:hAnsi="Verdana"/>
          <w:sz w:val="20"/>
          <w:szCs w:val="20"/>
        </w:rPr>
        <w:t xml:space="preserve">Final </w:t>
      </w:r>
      <w:r w:rsidR="00A664E2">
        <w:rPr>
          <w:rFonts w:ascii="Verdana" w:hAnsi="Verdana"/>
          <w:sz w:val="20"/>
          <w:szCs w:val="20"/>
        </w:rPr>
        <w:t xml:space="preserve">Projects </w:t>
      </w:r>
    </w:p>
    <w:p w14:paraId="24CAA4EC" w14:textId="77777777" w:rsidR="00A664E2" w:rsidRDefault="00A664E2" w:rsidP="00A664E2">
      <w:pPr>
        <w:spacing w:after="0"/>
        <w:ind w:left="-450"/>
        <w:rPr>
          <w:rFonts w:ascii="Verdana" w:hAnsi="Verdana"/>
          <w:sz w:val="20"/>
          <w:szCs w:val="20"/>
        </w:rPr>
      </w:pPr>
    </w:p>
    <w:p w14:paraId="0D25BD7E" w14:textId="77777777" w:rsidR="00A664E2" w:rsidRDefault="00A664E2" w:rsidP="00A664E2">
      <w:pPr>
        <w:spacing w:after="0"/>
        <w:ind w:left="-450"/>
        <w:rPr>
          <w:rFonts w:ascii="Verdana" w:hAnsi="Verdana"/>
          <w:sz w:val="20"/>
          <w:szCs w:val="20"/>
        </w:rPr>
      </w:pPr>
      <w:r w:rsidRPr="00A664E2">
        <w:rPr>
          <w:rFonts w:ascii="Verdana" w:hAnsi="Verdana"/>
          <w:b/>
          <w:sz w:val="20"/>
          <w:szCs w:val="20"/>
        </w:rPr>
        <w:t>Assignments</w:t>
      </w:r>
      <w:r>
        <w:rPr>
          <w:rFonts w:ascii="Verdana" w:hAnsi="Verdana"/>
          <w:sz w:val="20"/>
          <w:szCs w:val="20"/>
        </w:rPr>
        <w:t xml:space="preserve"> (30%): consist of in-class exercises, take-home projects, and short papers.</w:t>
      </w:r>
    </w:p>
    <w:p w14:paraId="7BE33062" w14:textId="77777777" w:rsidR="00A664E2" w:rsidRDefault="00A664E2" w:rsidP="00A664E2">
      <w:pPr>
        <w:spacing w:after="0"/>
        <w:ind w:left="-450"/>
        <w:rPr>
          <w:rFonts w:ascii="Verdana" w:hAnsi="Verdana"/>
          <w:sz w:val="20"/>
          <w:szCs w:val="20"/>
        </w:rPr>
      </w:pPr>
    </w:p>
    <w:p w14:paraId="55C426D9" w14:textId="77777777" w:rsidR="00FB3BDE" w:rsidRDefault="00A664E2" w:rsidP="00A664E2">
      <w:pPr>
        <w:spacing w:after="0"/>
        <w:ind w:left="-450"/>
        <w:rPr>
          <w:rFonts w:ascii="Verdana" w:hAnsi="Verdana"/>
          <w:sz w:val="20"/>
          <w:szCs w:val="20"/>
        </w:rPr>
      </w:pPr>
      <w:r w:rsidRPr="00A664E2">
        <w:rPr>
          <w:rFonts w:ascii="Verdana" w:hAnsi="Verdana"/>
          <w:b/>
          <w:sz w:val="20"/>
          <w:szCs w:val="20"/>
        </w:rPr>
        <w:t>Quizzes</w:t>
      </w:r>
      <w:r>
        <w:rPr>
          <w:rFonts w:ascii="Verdana" w:hAnsi="Verdana"/>
          <w:sz w:val="20"/>
          <w:szCs w:val="20"/>
        </w:rPr>
        <w:t xml:space="preserve"> (20%): There may be a quiz at the beginning of class and these quizzes are to ensure students are prepared for class or from the previous week to ensure students understood the topics. The lowest quiz score will be dropped including a missed quiz due to an absence. There are no make-up quizzes. If more than one quiz is missed (only one quiz can be dropped) then the student will receive a ‘0’ (zero) for that quiz. </w:t>
      </w:r>
    </w:p>
    <w:p w14:paraId="6113276D" w14:textId="77777777" w:rsidR="00A664E2" w:rsidRPr="00FB3BDE" w:rsidRDefault="00FB3BDE" w:rsidP="00A664E2">
      <w:pPr>
        <w:spacing w:after="0"/>
        <w:ind w:left="-450"/>
        <w:rPr>
          <w:rFonts w:ascii="Verdana" w:hAnsi="Verdana"/>
          <w:b/>
          <w:i/>
          <w:sz w:val="18"/>
          <w:szCs w:val="20"/>
        </w:rPr>
      </w:pPr>
      <w:r w:rsidRPr="00FB3BDE">
        <w:rPr>
          <w:rFonts w:ascii="Verdana" w:hAnsi="Verdana"/>
          <w:b/>
          <w:i/>
          <w:sz w:val="18"/>
          <w:szCs w:val="20"/>
        </w:rPr>
        <w:t>(NOTE: if no quizzes – assignments are 40%; student-led projects; class participations 15%)</w:t>
      </w:r>
    </w:p>
    <w:p w14:paraId="36DC5D36" w14:textId="77777777" w:rsidR="00A664E2" w:rsidRDefault="00A664E2" w:rsidP="00A664E2">
      <w:pPr>
        <w:spacing w:after="0"/>
        <w:ind w:left="-450"/>
        <w:rPr>
          <w:rFonts w:ascii="Verdana" w:hAnsi="Verdana"/>
          <w:sz w:val="20"/>
          <w:szCs w:val="20"/>
        </w:rPr>
      </w:pPr>
    </w:p>
    <w:p w14:paraId="3EF0A793" w14:textId="77777777" w:rsidR="00A664E2" w:rsidRDefault="00A664E2" w:rsidP="00A664E2">
      <w:pPr>
        <w:spacing w:after="0"/>
        <w:ind w:left="-450"/>
        <w:rPr>
          <w:rFonts w:ascii="Verdana" w:hAnsi="Verdana"/>
          <w:sz w:val="20"/>
          <w:szCs w:val="20"/>
        </w:rPr>
      </w:pPr>
      <w:r w:rsidRPr="00A664E2">
        <w:rPr>
          <w:rFonts w:ascii="Verdana" w:hAnsi="Verdana"/>
          <w:b/>
          <w:sz w:val="20"/>
          <w:szCs w:val="20"/>
        </w:rPr>
        <w:t>Student-led Final Project</w:t>
      </w:r>
      <w:r>
        <w:rPr>
          <w:rFonts w:ascii="Verdana" w:hAnsi="Verdana"/>
          <w:sz w:val="20"/>
          <w:szCs w:val="20"/>
        </w:rPr>
        <w:t xml:space="preserve"> (35%): Each student will select a topic from the syllabus. The student will do additional research and then lead a class discussion as well as presentation. Further details will be covered in class. The selected project must be approved by the instructor. </w:t>
      </w:r>
    </w:p>
    <w:p w14:paraId="31598CC4" w14:textId="77777777" w:rsidR="00A664E2" w:rsidRDefault="00A664E2" w:rsidP="00A664E2">
      <w:pPr>
        <w:spacing w:after="0"/>
        <w:ind w:left="-450"/>
        <w:rPr>
          <w:rFonts w:ascii="Verdana" w:hAnsi="Verdana"/>
          <w:sz w:val="20"/>
          <w:szCs w:val="20"/>
        </w:rPr>
      </w:pPr>
    </w:p>
    <w:p w14:paraId="537A174A" w14:textId="77777777" w:rsidR="00892C41" w:rsidRDefault="00A664E2" w:rsidP="00A664E2">
      <w:pPr>
        <w:spacing w:after="0"/>
        <w:ind w:left="-450"/>
        <w:rPr>
          <w:rFonts w:ascii="Verdana" w:hAnsi="Verdana"/>
          <w:sz w:val="20"/>
          <w:szCs w:val="20"/>
        </w:rPr>
      </w:pPr>
      <w:r w:rsidRPr="00892C41">
        <w:rPr>
          <w:rFonts w:ascii="Verdana" w:hAnsi="Verdana"/>
          <w:b/>
          <w:sz w:val="20"/>
          <w:szCs w:val="20"/>
        </w:rPr>
        <w:t>Class Participation</w:t>
      </w:r>
      <w:r>
        <w:rPr>
          <w:rFonts w:ascii="Verdana" w:hAnsi="Verdana"/>
          <w:sz w:val="20"/>
          <w:szCs w:val="20"/>
        </w:rPr>
        <w:t xml:space="preserve"> (15%): Much of the course will required class participation. The class participation will be evaluated by attendance (attendance will be taken </w:t>
      </w:r>
      <w:r w:rsidR="00892C41">
        <w:rPr>
          <w:rFonts w:ascii="Verdana" w:hAnsi="Verdana"/>
          <w:sz w:val="20"/>
          <w:szCs w:val="20"/>
        </w:rPr>
        <w:t xml:space="preserve">at the beginning of each class) and by participation in discussions. </w:t>
      </w:r>
    </w:p>
    <w:p w14:paraId="0DDC54CB" w14:textId="77777777" w:rsidR="00892C41" w:rsidRDefault="00892C41" w:rsidP="00A664E2">
      <w:pPr>
        <w:spacing w:after="0"/>
        <w:ind w:left="-450"/>
        <w:rPr>
          <w:rFonts w:ascii="Verdana" w:hAnsi="Verdana"/>
          <w:sz w:val="20"/>
          <w:szCs w:val="20"/>
        </w:rPr>
      </w:pPr>
    </w:p>
    <w:p w14:paraId="58AD9A3B" w14:textId="77777777" w:rsidR="00A664E2" w:rsidRDefault="00892C41" w:rsidP="00A664E2">
      <w:pPr>
        <w:spacing w:after="0"/>
        <w:ind w:left="-450"/>
        <w:rPr>
          <w:rFonts w:ascii="Verdana" w:hAnsi="Verdana"/>
          <w:b/>
        </w:rPr>
      </w:pPr>
      <w:r w:rsidRPr="00892C41">
        <w:rPr>
          <w:rFonts w:ascii="Verdana" w:hAnsi="Verdana"/>
          <w:b/>
        </w:rPr>
        <w:t>Final Grade</w:t>
      </w:r>
      <w:r w:rsidR="00A664E2" w:rsidRPr="00892C41">
        <w:rPr>
          <w:rFonts w:ascii="Verdana" w:hAnsi="Verdana"/>
          <w:b/>
        </w:rPr>
        <w:t xml:space="preserve"> </w:t>
      </w:r>
    </w:p>
    <w:p w14:paraId="1702A2E7" w14:textId="77777777" w:rsidR="00892C41" w:rsidRDefault="00892C41" w:rsidP="00892C41">
      <w:pPr>
        <w:spacing w:after="60"/>
        <w:ind w:left="-450"/>
        <w:rPr>
          <w:rFonts w:ascii="Verdana" w:hAnsi="Verdana"/>
          <w:sz w:val="20"/>
          <w:szCs w:val="20"/>
        </w:rPr>
      </w:pPr>
      <w:r>
        <w:rPr>
          <w:rFonts w:ascii="Verdana" w:hAnsi="Verdana"/>
          <w:sz w:val="20"/>
          <w:szCs w:val="20"/>
        </w:rPr>
        <w:t xml:space="preserve">A+ </w:t>
      </w:r>
      <w:r>
        <w:rPr>
          <w:rFonts w:ascii="Verdana" w:hAnsi="Verdana"/>
          <w:sz w:val="20"/>
          <w:szCs w:val="20"/>
        </w:rPr>
        <w:tab/>
        <w:t>97-100%</w:t>
      </w:r>
    </w:p>
    <w:p w14:paraId="5B3026BF" w14:textId="77777777" w:rsidR="00892C41" w:rsidRDefault="00892C41" w:rsidP="00892C41">
      <w:pPr>
        <w:spacing w:after="60"/>
        <w:ind w:left="-450"/>
        <w:rPr>
          <w:rFonts w:ascii="Verdana" w:hAnsi="Verdana"/>
          <w:sz w:val="20"/>
          <w:szCs w:val="20"/>
        </w:rPr>
      </w:pPr>
      <w:r>
        <w:rPr>
          <w:rFonts w:ascii="Verdana" w:hAnsi="Verdana"/>
          <w:sz w:val="20"/>
          <w:szCs w:val="20"/>
        </w:rPr>
        <w:t>A</w:t>
      </w:r>
      <w:r>
        <w:rPr>
          <w:rFonts w:ascii="Verdana" w:hAnsi="Verdana"/>
          <w:sz w:val="20"/>
          <w:szCs w:val="20"/>
        </w:rPr>
        <w:tab/>
        <w:t>90-96.9%</w:t>
      </w:r>
    </w:p>
    <w:p w14:paraId="614B5B61" w14:textId="77777777" w:rsidR="00892C41" w:rsidRDefault="00892C41" w:rsidP="00892C41">
      <w:pPr>
        <w:spacing w:after="60"/>
        <w:ind w:left="-450"/>
        <w:rPr>
          <w:rFonts w:ascii="Verdana" w:hAnsi="Verdana"/>
          <w:sz w:val="20"/>
          <w:szCs w:val="20"/>
        </w:rPr>
      </w:pPr>
      <w:r>
        <w:rPr>
          <w:rFonts w:ascii="Verdana" w:hAnsi="Verdana"/>
          <w:sz w:val="20"/>
          <w:szCs w:val="20"/>
        </w:rPr>
        <w:t>B+</w:t>
      </w:r>
      <w:r>
        <w:rPr>
          <w:rFonts w:ascii="Verdana" w:hAnsi="Verdana"/>
          <w:sz w:val="20"/>
          <w:szCs w:val="20"/>
        </w:rPr>
        <w:tab/>
        <w:t>87-89.9%</w:t>
      </w:r>
    </w:p>
    <w:p w14:paraId="22FD8AF5" w14:textId="77777777" w:rsidR="00892C41" w:rsidRDefault="00892C41" w:rsidP="00892C41">
      <w:pPr>
        <w:spacing w:after="60"/>
        <w:ind w:left="-450"/>
        <w:rPr>
          <w:rFonts w:ascii="Verdana" w:hAnsi="Verdana"/>
          <w:sz w:val="20"/>
          <w:szCs w:val="20"/>
        </w:rPr>
      </w:pPr>
      <w:r>
        <w:rPr>
          <w:rFonts w:ascii="Verdana" w:hAnsi="Verdana"/>
          <w:sz w:val="20"/>
          <w:szCs w:val="20"/>
        </w:rPr>
        <w:t>B</w:t>
      </w:r>
      <w:r>
        <w:rPr>
          <w:rFonts w:ascii="Verdana" w:hAnsi="Verdana"/>
          <w:sz w:val="20"/>
          <w:szCs w:val="20"/>
        </w:rPr>
        <w:tab/>
        <w:t>80-86.9%</w:t>
      </w:r>
    </w:p>
    <w:p w14:paraId="73C89000" w14:textId="77777777" w:rsidR="00892C41" w:rsidRPr="00892C41" w:rsidRDefault="00892C41" w:rsidP="00892C41">
      <w:pPr>
        <w:spacing w:after="60"/>
        <w:ind w:left="-450"/>
        <w:rPr>
          <w:rFonts w:ascii="Verdana" w:hAnsi="Verdana"/>
          <w:i/>
          <w:sz w:val="20"/>
          <w:szCs w:val="20"/>
        </w:rPr>
      </w:pPr>
      <w:r w:rsidRPr="00892C41">
        <w:rPr>
          <w:rFonts w:ascii="Verdana" w:hAnsi="Verdana"/>
          <w:i/>
          <w:sz w:val="20"/>
          <w:szCs w:val="20"/>
        </w:rPr>
        <w:t>Anything less than a B is considered flunking the class and this should not happen!</w:t>
      </w:r>
    </w:p>
    <w:p w14:paraId="70493646" w14:textId="77777777" w:rsidR="00892C41" w:rsidRDefault="00892C41" w:rsidP="00892C41">
      <w:pPr>
        <w:spacing w:after="60"/>
        <w:ind w:left="-450"/>
        <w:rPr>
          <w:rFonts w:ascii="Verdana" w:hAnsi="Verdana"/>
          <w:sz w:val="20"/>
          <w:szCs w:val="20"/>
        </w:rPr>
      </w:pPr>
      <w:r>
        <w:rPr>
          <w:rFonts w:ascii="Verdana" w:hAnsi="Verdana"/>
          <w:sz w:val="20"/>
          <w:szCs w:val="20"/>
        </w:rPr>
        <w:t>C+</w:t>
      </w:r>
      <w:r>
        <w:rPr>
          <w:rFonts w:ascii="Verdana" w:hAnsi="Verdana"/>
          <w:sz w:val="20"/>
          <w:szCs w:val="20"/>
        </w:rPr>
        <w:tab/>
        <w:t>77-77.9%</w:t>
      </w:r>
    </w:p>
    <w:p w14:paraId="43B41962" w14:textId="77777777" w:rsidR="00892C41" w:rsidRDefault="00892C41" w:rsidP="00892C41">
      <w:pPr>
        <w:spacing w:after="60"/>
        <w:ind w:left="-450"/>
        <w:rPr>
          <w:rFonts w:ascii="Verdana" w:hAnsi="Verdana"/>
          <w:sz w:val="20"/>
          <w:szCs w:val="20"/>
        </w:rPr>
      </w:pPr>
      <w:r>
        <w:rPr>
          <w:rFonts w:ascii="Verdana" w:hAnsi="Verdana"/>
          <w:sz w:val="20"/>
          <w:szCs w:val="20"/>
        </w:rPr>
        <w:t>C</w:t>
      </w:r>
      <w:r>
        <w:rPr>
          <w:rFonts w:ascii="Verdana" w:hAnsi="Verdana"/>
          <w:sz w:val="20"/>
          <w:szCs w:val="20"/>
        </w:rPr>
        <w:tab/>
        <w:t>70-76.9%</w:t>
      </w:r>
    </w:p>
    <w:p w14:paraId="6F3EAB7A" w14:textId="77777777" w:rsidR="00892C41" w:rsidRDefault="00892C41" w:rsidP="00892C41">
      <w:pPr>
        <w:spacing w:after="60"/>
        <w:ind w:left="-450"/>
        <w:rPr>
          <w:rFonts w:ascii="Verdana" w:hAnsi="Verdana"/>
          <w:sz w:val="20"/>
          <w:szCs w:val="20"/>
        </w:rPr>
      </w:pPr>
      <w:r>
        <w:rPr>
          <w:rFonts w:ascii="Verdana" w:hAnsi="Verdana"/>
          <w:sz w:val="20"/>
          <w:szCs w:val="20"/>
        </w:rPr>
        <w:t>D</w:t>
      </w:r>
      <w:r>
        <w:rPr>
          <w:rFonts w:ascii="Verdana" w:hAnsi="Verdana"/>
          <w:sz w:val="20"/>
          <w:szCs w:val="20"/>
        </w:rPr>
        <w:tab/>
        <w:t>let’s hope not! 60-69.9%</w:t>
      </w:r>
    </w:p>
    <w:p w14:paraId="52455038" w14:textId="77777777" w:rsidR="00892C41" w:rsidRDefault="00892C41" w:rsidP="00A664E2">
      <w:pPr>
        <w:spacing w:after="0"/>
        <w:ind w:left="-450"/>
        <w:rPr>
          <w:rFonts w:ascii="Verdana" w:hAnsi="Verdana"/>
          <w:sz w:val="20"/>
          <w:szCs w:val="20"/>
        </w:rPr>
      </w:pPr>
      <w:r>
        <w:rPr>
          <w:rFonts w:ascii="Verdana" w:hAnsi="Verdana"/>
          <w:sz w:val="20"/>
          <w:szCs w:val="20"/>
        </w:rPr>
        <w:t xml:space="preserve">F </w:t>
      </w:r>
      <w:r>
        <w:rPr>
          <w:rFonts w:ascii="Verdana" w:hAnsi="Verdana"/>
          <w:sz w:val="20"/>
          <w:szCs w:val="20"/>
        </w:rPr>
        <w:tab/>
        <w:t>should NEVER happen less than 60%</w:t>
      </w:r>
    </w:p>
    <w:p w14:paraId="48235992" w14:textId="77777777" w:rsidR="00892C41" w:rsidRDefault="00892C41" w:rsidP="00A664E2">
      <w:pPr>
        <w:spacing w:after="0"/>
        <w:ind w:left="-450"/>
        <w:rPr>
          <w:rFonts w:ascii="Verdana" w:hAnsi="Verdana"/>
          <w:sz w:val="20"/>
          <w:szCs w:val="20"/>
        </w:rPr>
      </w:pPr>
    </w:p>
    <w:p w14:paraId="0F301F18" w14:textId="77777777" w:rsidR="00892C41" w:rsidRPr="00892C41" w:rsidRDefault="00892C41" w:rsidP="00A664E2">
      <w:pPr>
        <w:spacing w:after="0"/>
        <w:ind w:left="-450"/>
        <w:rPr>
          <w:rFonts w:ascii="Verdana" w:hAnsi="Verdana"/>
          <w:b/>
        </w:rPr>
      </w:pPr>
      <w:r w:rsidRPr="00892C41">
        <w:rPr>
          <w:rFonts w:ascii="Verdana" w:hAnsi="Verdana"/>
          <w:b/>
        </w:rPr>
        <w:t>Class Attendance</w:t>
      </w:r>
    </w:p>
    <w:p w14:paraId="44258228" w14:textId="77777777" w:rsidR="00892C41" w:rsidRDefault="00892C41" w:rsidP="00A664E2">
      <w:pPr>
        <w:spacing w:after="0"/>
        <w:ind w:left="-450"/>
        <w:rPr>
          <w:rFonts w:ascii="Verdana" w:hAnsi="Verdana"/>
          <w:sz w:val="20"/>
          <w:szCs w:val="20"/>
        </w:rPr>
      </w:pPr>
      <w:r>
        <w:rPr>
          <w:rFonts w:ascii="Verdana" w:hAnsi="Verdana"/>
          <w:sz w:val="20"/>
          <w:szCs w:val="20"/>
        </w:rPr>
        <w:t xml:space="preserve">Class attendance is required for all classes without exception. Attendance will be taken for every class. As a courtesy, please don’t arrive late for class. Because I understand that ‘life happens’, I will allow one unexcused absence in the semester. Please try to let me know if you cannot make </w:t>
      </w:r>
      <w:r>
        <w:rPr>
          <w:rFonts w:ascii="Verdana" w:hAnsi="Verdana"/>
          <w:sz w:val="20"/>
          <w:szCs w:val="20"/>
        </w:rPr>
        <w:lastRenderedPageBreak/>
        <w:t>class. After the one absence, you will incur a penalty of a reduction in your overall course grade for each unexcused absence (5% of your total grade).</w:t>
      </w:r>
      <w:bookmarkStart w:id="0" w:name="_GoBack"/>
      <w:bookmarkEnd w:id="0"/>
      <w:r>
        <w:rPr>
          <w:rFonts w:ascii="Verdana" w:hAnsi="Verdana"/>
          <w:sz w:val="20"/>
          <w:szCs w:val="20"/>
        </w:rPr>
        <w:t xml:space="preserve"> If you must miss class or arrive late, please let me know in advance or provide university-approved documentation to allow makeup work or assignments. Assignments from excused absences must be made up within one week of returning from a university-excused absence. </w:t>
      </w:r>
    </w:p>
    <w:p w14:paraId="6DFF1956" w14:textId="77777777" w:rsidR="009C46F5" w:rsidRDefault="009C46F5" w:rsidP="00A664E2">
      <w:pPr>
        <w:spacing w:after="0"/>
        <w:ind w:left="-450"/>
        <w:rPr>
          <w:rFonts w:ascii="Verdana" w:hAnsi="Verdana"/>
          <w:sz w:val="20"/>
          <w:szCs w:val="20"/>
        </w:rPr>
      </w:pPr>
    </w:p>
    <w:p w14:paraId="6E7BEC27" w14:textId="77777777" w:rsidR="00892C41" w:rsidRPr="00892C41" w:rsidRDefault="00892C41" w:rsidP="00A664E2">
      <w:pPr>
        <w:spacing w:after="0"/>
        <w:ind w:left="-450"/>
        <w:rPr>
          <w:rFonts w:ascii="Verdana" w:hAnsi="Verdana"/>
          <w:b/>
        </w:rPr>
      </w:pPr>
      <w:r w:rsidRPr="00892C41">
        <w:rPr>
          <w:rFonts w:ascii="Verdana" w:hAnsi="Verdana"/>
          <w:b/>
        </w:rPr>
        <w:t>Honor Code</w:t>
      </w:r>
    </w:p>
    <w:p w14:paraId="231F945F" w14:textId="77777777" w:rsidR="00F37CAF" w:rsidRDefault="00892C41" w:rsidP="00F37CAF">
      <w:pPr>
        <w:spacing w:after="0"/>
        <w:ind w:left="-450"/>
        <w:rPr>
          <w:rFonts w:ascii="Verdana" w:hAnsi="Verdana"/>
          <w:sz w:val="20"/>
          <w:szCs w:val="20"/>
        </w:rPr>
      </w:pPr>
      <w:r>
        <w:rPr>
          <w:rFonts w:ascii="Verdana" w:hAnsi="Verdana"/>
          <w:sz w:val="20"/>
          <w:szCs w:val="20"/>
        </w:rPr>
        <w:t xml:space="preserve">All provisions of the GMU Honor Code will be followed in this class. During quizzes or exams, no books, notes, or student interaction will be permitted. For papers, all work submitted must be original. You can use quotes in your papers, but they must be correctly cited and should be few in number. </w:t>
      </w:r>
      <w:r w:rsidR="00A9240A">
        <w:rPr>
          <w:rFonts w:ascii="Verdana" w:hAnsi="Verdana"/>
          <w:sz w:val="20"/>
          <w:szCs w:val="20"/>
        </w:rPr>
        <w:t xml:space="preserve">You can consult other sources or students for information regarding format, grammar, etc., but you should be doing the writing. The instructor reserves the right to assign an ‘F’ grade to students convicted of an honor code violation. </w:t>
      </w:r>
    </w:p>
    <w:p w14:paraId="0D8BD243" w14:textId="77777777" w:rsidR="00F37CAF" w:rsidRDefault="00F37CAF" w:rsidP="00F37CAF">
      <w:pPr>
        <w:spacing w:after="0"/>
        <w:ind w:left="-450"/>
        <w:rPr>
          <w:rFonts w:ascii="Verdana" w:hAnsi="Verdana"/>
          <w:sz w:val="20"/>
          <w:szCs w:val="20"/>
        </w:rPr>
      </w:pPr>
    </w:p>
    <w:p w14:paraId="480E0E56" w14:textId="77777777" w:rsidR="00F37CAF" w:rsidRPr="00F37CAF" w:rsidRDefault="00F37CAF" w:rsidP="00F37CAF">
      <w:pPr>
        <w:spacing w:after="0"/>
        <w:ind w:left="-450"/>
        <w:rPr>
          <w:rFonts w:ascii="Verdana" w:hAnsi="Verdana"/>
          <w:sz w:val="20"/>
          <w:szCs w:val="20"/>
        </w:rPr>
      </w:pPr>
      <w:r w:rsidRPr="00F37CAF">
        <w:rPr>
          <w:rFonts w:ascii="Verdana" w:eastAsia="Times New Roman" w:hAnsi="Verdana" w:cs="Times New Roman"/>
          <w:b/>
          <w:sz w:val="20"/>
          <w:szCs w:val="20"/>
        </w:rPr>
        <w:t>Official Communications via GMU E-mail:</w:t>
      </w:r>
      <w:r w:rsidRPr="00F37CAF">
        <w:rPr>
          <w:rFonts w:ascii="Verdana" w:eastAsia="Times New Roman" w:hAnsi="Verdana" w:cs="Times New Roman"/>
          <w:sz w:val="20"/>
          <w:szCs w:val="20"/>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5E48C358" w14:textId="77777777" w:rsidR="00F37CAF" w:rsidRPr="00F37CAF" w:rsidRDefault="00F37CAF" w:rsidP="00F37CAF">
      <w:pPr>
        <w:spacing w:after="0"/>
        <w:ind w:left="-450"/>
        <w:rPr>
          <w:rFonts w:ascii="Verdana" w:hAnsi="Verdana"/>
          <w:sz w:val="20"/>
          <w:szCs w:val="20"/>
        </w:rPr>
      </w:pPr>
    </w:p>
    <w:p w14:paraId="287AF976" w14:textId="77777777" w:rsidR="00F37CAF" w:rsidRPr="00F37CAF" w:rsidRDefault="00F37CAF" w:rsidP="00F37CAF">
      <w:pPr>
        <w:spacing w:after="0"/>
        <w:ind w:left="-450"/>
        <w:rPr>
          <w:rFonts w:ascii="Verdana" w:hAnsi="Verdana"/>
          <w:sz w:val="20"/>
          <w:szCs w:val="20"/>
        </w:rPr>
      </w:pPr>
      <w:r w:rsidRPr="00F37CAF">
        <w:rPr>
          <w:rFonts w:ascii="Verdana" w:eastAsia="Times New Roman" w:hAnsi="Verdana" w:cs="Times New Roman"/>
          <w:b/>
          <w:sz w:val="20"/>
          <w:szCs w:val="20"/>
        </w:rPr>
        <w:t>Disability Statement:</w:t>
      </w:r>
      <w:r w:rsidRPr="00F37CAF">
        <w:rPr>
          <w:rFonts w:ascii="Verdana" w:eastAsia="Times New Roman" w:hAnsi="Verdana" w:cs="Times New Roman"/>
          <w:sz w:val="20"/>
          <w:szCs w:val="20"/>
        </w:rPr>
        <w:t xml:space="preserve"> “If you are a student with a disability and you need academic accommodations, please see me and contact the Disability Resource Services (DRS) at 703-993-2474.”</w:t>
      </w:r>
    </w:p>
    <w:p w14:paraId="10C0EC53" w14:textId="77777777" w:rsidR="00F37CAF" w:rsidRPr="00892C41" w:rsidRDefault="00F37CAF" w:rsidP="00A664E2">
      <w:pPr>
        <w:spacing w:after="0"/>
        <w:ind w:left="-450"/>
        <w:rPr>
          <w:rFonts w:ascii="Verdana" w:hAnsi="Verdana"/>
          <w:sz w:val="20"/>
          <w:szCs w:val="20"/>
        </w:rPr>
      </w:pPr>
    </w:p>
    <w:sectPr w:rsidR="00F37CAF" w:rsidRPr="00892C41" w:rsidSect="009C46F5">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26504"/>
    <w:multiLevelType w:val="hybridMultilevel"/>
    <w:tmpl w:val="4FA2529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4DC"/>
    <w:rsid w:val="00066E19"/>
    <w:rsid w:val="000F3DC7"/>
    <w:rsid w:val="001C5FDE"/>
    <w:rsid w:val="001C7338"/>
    <w:rsid w:val="001E4C66"/>
    <w:rsid w:val="002955B4"/>
    <w:rsid w:val="00297C02"/>
    <w:rsid w:val="002F58FB"/>
    <w:rsid w:val="002F666D"/>
    <w:rsid w:val="00322C29"/>
    <w:rsid w:val="00330582"/>
    <w:rsid w:val="00333422"/>
    <w:rsid w:val="0041253A"/>
    <w:rsid w:val="00417170"/>
    <w:rsid w:val="00423093"/>
    <w:rsid w:val="00466FA0"/>
    <w:rsid w:val="00467F86"/>
    <w:rsid w:val="00481E9F"/>
    <w:rsid w:val="00546B65"/>
    <w:rsid w:val="005D22DA"/>
    <w:rsid w:val="005D3ACB"/>
    <w:rsid w:val="006969CD"/>
    <w:rsid w:val="00701AA1"/>
    <w:rsid w:val="00704427"/>
    <w:rsid w:val="007E0A6A"/>
    <w:rsid w:val="0080402E"/>
    <w:rsid w:val="00892C41"/>
    <w:rsid w:val="008A6EBD"/>
    <w:rsid w:val="008B3B24"/>
    <w:rsid w:val="008D5934"/>
    <w:rsid w:val="0094466C"/>
    <w:rsid w:val="009C14DC"/>
    <w:rsid w:val="009C46F5"/>
    <w:rsid w:val="009F6F8E"/>
    <w:rsid w:val="00A664E2"/>
    <w:rsid w:val="00A724DB"/>
    <w:rsid w:val="00A77EC2"/>
    <w:rsid w:val="00A9240A"/>
    <w:rsid w:val="00A92DC7"/>
    <w:rsid w:val="00AE3ECE"/>
    <w:rsid w:val="00B374E0"/>
    <w:rsid w:val="00C411BB"/>
    <w:rsid w:val="00CB6834"/>
    <w:rsid w:val="00D65891"/>
    <w:rsid w:val="00E75C1C"/>
    <w:rsid w:val="00EE5521"/>
    <w:rsid w:val="00F37CAF"/>
    <w:rsid w:val="00F457B5"/>
    <w:rsid w:val="00F56F59"/>
    <w:rsid w:val="00F7146A"/>
    <w:rsid w:val="00FB3BDE"/>
    <w:rsid w:val="00FE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9DF1"/>
  <w15:docId w15:val="{11FE61B5-E37C-49F9-9A64-4965F5DD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DC"/>
    <w:rPr>
      <w:rFonts w:ascii="Tahoma" w:hAnsi="Tahoma" w:cs="Tahoma"/>
      <w:sz w:val="16"/>
      <w:szCs w:val="16"/>
    </w:rPr>
  </w:style>
  <w:style w:type="character" w:styleId="Hyperlink">
    <w:name w:val="Hyperlink"/>
    <w:basedOn w:val="DefaultParagraphFont"/>
    <w:uiPriority w:val="99"/>
    <w:unhideWhenUsed/>
    <w:rsid w:val="009C14DC"/>
    <w:rPr>
      <w:color w:val="0000FF" w:themeColor="hyperlink"/>
      <w:u w:val="single"/>
    </w:rPr>
  </w:style>
  <w:style w:type="table" w:styleId="TableGrid">
    <w:name w:val="Table Grid"/>
    <w:basedOn w:val="TableNormal"/>
    <w:uiPriority w:val="59"/>
    <w:rsid w:val="008D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4E2"/>
    <w:pPr>
      <w:ind w:left="720"/>
      <w:contextualSpacing/>
    </w:pPr>
  </w:style>
  <w:style w:type="character" w:styleId="UnresolvedMention">
    <w:name w:val="Unresolved Mention"/>
    <w:basedOn w:val="DefaultParagraphFont"/>
    <w:uiPriority w:val="99"/>
    <w:semiHidden/>
    <w:unhideWhenUsed/>
    <w:rsid w:val="00FB3B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91446">
      <w:bodyDiv w:val="1"/>
      <w:marLeft w:val="0"/>
      <w:marRight w:val="0"/>
      <w:marTop w:val="0"/>
      <w:marBottom w:val="0"/>
      <w:divBdr>
        <w:top w:val="none" w:sz="0" w:space="0" w:color="auto"/>
        <w:left w:val="none" w:sz="0" w:space="0" w:color="auto"/>
        <w:bottom w:val="none" w:sz="0" w:space="0" w:color="auto"/>
        <w:right w:val="none" w:sz="0" w:space="0" w:color="auto"/>
      </w:divBdr>
      <w:divsChild>
        <w:div w:id="2037078867">
          <w:marLeft w:val="0"/>
          <w:marRight w:val="0"/>
          <w:marTop w:val="0"/>
          <w:marBottom w:val="0"/>
          <w:divBdr>
            <w:top w:val="none" w:sz="0" w:space="0" w:color="auto"/>
            <w:left w:val="none" w:sz="0" w:space="0" w:color="auto"/>
            <w:bottom w:val="none" w:sz="0" w:space="0" w:color="auto"/>
            <w:right w:val="none" w:sz="0" w:space="0" w:color="auto"/>
          </w:divBdr>
        </w:div>
        <w:div w:id="311371435">
          <w:marLeft w:val="0"/>
          <w:marRight w:val="0"/>
          <w:marTop w:val="0"/>
          <w:marBottom w:val="0"/>
          <w:divBdr>
            <w:top w:val="none" w:sz="0" w:space="0" w:color="auto"/>
            <w:left w:val="none" w:sz="0" w:space="0" w:color="auto"/>
            <w:bottom w:val="none" w:sz="0" w:space="0" w:color="auto"/>
            <w:right w:val="none" w:sz="0" w:space="0" w:color="auto"/>
          </w:divBdr>
        </w:div>
        <w:div w:id="214095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furman@nist.gov" TargetMode="External"/><Relationship Id="rId13" Type="http://schemas.openxmlformats.org/officeDocument/2006/relationships/hyperlink" Target="mailto:Susanne.Furman@nist.gov" TargetMode="External"/><Relationship Id="rId3" Type="http://schemas.openxmlformats.org/officeDocument/2006/relationships/styles" Target="styles.xml"/><Relationship Id="rId7" Type="http://schemas.openxmlformats.org/officeDocument/2006/relationships/hyperlink" Target="mailto:susannefurman@gmu.edu" TargetMode="External"/><Relationship Id="rId12" Type="http://schemas.openxmlformats.org/officeDocument/2006/relationships/hyperlink" Target="mailto:sfurman@gm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usanne.furman@nist.gov" TargetMode="External"/><Relationship Id="rId14" Type="http://schemas.openxmlformats.org/officeDocument/2006/relationships/hyperlink" Target="mailto:susannefur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3E98-D9A7-4DA9-A0A5-BCC55A75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Furman, Susanne M.</dc:creator>
  <cp:lastModifiedBy>Furman, Susanne M. (Fed)</cp:lastModifiedBy>
  <cp:revision>2</cp:revision>
  <cp:lastPrinted>2020-01-22T13:05:00Z</cp:lastPrinted>
  <dcterms:created xsi:type="dcterms:W3CDTF">2021-01-07T15:34:00Z</dcterms:created>
  <dcterms:modified xsi:type="dcterms:W3CDTF">2021-01-07T15:34:00Z</dcterms:modified>
</cp:coreProperties>
</file>