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EE" w:rsidRPr="00DA0DB9" w:rsidRDefault="00920DEE" w:rsidP="00920DEE">
      <w:pPr>
        <w:jc w:val="center"/>
        <w:rPr>
          <w:b/>
          <w:bCs/>
          <w:sz w:val="32"/>
          <w:szCs w:val="32"/>
          <w:lang w:val="en-US"/>
        </w:rPr>
      </w:pPr>
      <w:r>
        <w:rPr>
          <w:b/>
          <w:bCs/>
          <w:sz w:val="32"/>
          <w:szCs w:val="32"/>
          <w:lang w:val="en-US"/>
        </w:rPr>
        <w:t xml:space="preserve">PSYC </w:t>
      </w:r>
      <w:r w:rsidR="00D24B45">
        <w:rPr>
          <w:b/>
          <w:bCs/>
          <w:sz w:val="32"/>
          <w:szCs w:val="32"/>
          <w:lang w:val="en-US"/>
        </w:rPr>
        <w:t>405</w:t>
      </w:r>
      <w:r w:rsidR="00C560A0">
        <w:rPr>
          <w:b/>
          <w:bCs/>
          <w:sz w:val="32"/>
          <w:szCs w:val="32"/>
          <w:lang w:val="en-US"/>
        </w:rPr>
        <w:t>-</w:t>
      </w:r>
      <w:r w:rsidR="00F918B2">
        <w:rPr>
          <w:b/>
          <w:bCs/>
          <w:sz w:val="32"/>
          <w:szCs w:val="32"/>
          <w:lang w:val="en-US"/>
        </w:rPr>
        <w:t>DL4</w:t>
      </w:r>
      <w:r>
        <w:rPr>
          <w:b/>
          <w:bCs/>
          <w:sz w:val="32"/>
          <w:szCs w:val="32"/>
          <w:lang w:val="en-US"/>
        </w:rPr>
        <w:t xml:space="preserve"> </w:t>
      </w:r>
      <w:r w:rsidR="00D24B45">
        <w:rPr>
          <w:b/>
          <w:bCs/>
          <w:sz w:val="32"/>
          <w:szCs w:val="32"/>
          <w:lang w:val="en-US"/>
        </w:rPr>
        <w:t>–</w:t>
      </w:r>
      <w:r>
        <w:rPr>
          <w:b/>
          <w:bCs/>
          <w:sz w:val="32"/>
          <w:szCs w:val="32"/>
          <w:lang w:val="en-US"/>
        </w:rPr>
        <w:t xml:space="preserve"> </w:t>
      </w:r>
      <w:r w:rsidR="00D24B45">
        <w:rPr>
          <w:b/>
          <w:bCs/>
          <w:sz w:val="32"/>
          <w:szCs w:val="32"/>
          <w:lang w:val="en-US"/>
        </w:rPr>
        <w:t>Mystery, Madness, and Murder</w:t>
      </w:r>
    </w:p>
    <w:p w:rsidR="00472EAC" w:rsidRPr="00472EAC" w:rsidRDefault="00472EAC" w:rsidP="00472EAC">
      <w:pPr>
        <w:spacing w:after="0" w:line="240" w:lineRule="auto"/>
        <w:rPr>
          <w:rFonts w:ascii="Verdana" w:eastAsia="Times New Roman" w:hAnsi="Verdana" w:cs="Times New Roman"/>
          <w:color w:val="000000"/>
          <w:lang w:val="en-US" w:eastAsia="ja-JP"/>
        </w:rPr>
      </w:pPr>
    </w:p>
    <w:p w:rsidR="00920DEE" w:rsidRDefault="00920DEE" w:rsidP="00472EAC">
      <w:pPr>
        <w:ind w:left="720" w:hanging="720"/>
      </w:pPr>
      <w:r>
        <w:t>Instructor: Raul Ramirez</w:t>
      </w:r>
    </w:p>
    <w:p w:rsidR="00920DEE" w:rsidRDefault="00920DEE">
      <w:r>
        <w:t>Phone: 256-682-2416</w:t>
      </w:r>
      <w:r w:rsidR="001251BE">
        <w:t xml:space="preserve"> (I’m better at responding to texts than calls)</w:t>
      </w:r>
    </w:p>
    <w:p w:rsidR="00920DEE" w:rsidRDefault="00920DEE">
      <w:r>
        <w:t xml:space="preserve">Email: </w:t>
      </w:r>
      <w:hyperlink r:id="rId5" w:history="1">
        <w:r w:rsidRPr="001B169F">
          <w:rPr>
            <w:rStyle w:val="Hyperlink"/>
          </w:rPr>
          <w:t>rramire8@masonlive.gmu.edu</w:t>
        </w:r>
      </w:hyperlink>
    </w:p>
    <w:p w:rsidR="00920DEE" w:rsidRDefault="00920DEE">
      <w:r>
        <w:t>Office</w:t>
      </w:r>
      <w:r w:rsidR="002368BD">
        <w:t xml:space="preserve"> hours:</w:t>
      </w:r>
      <w:r>
        <w:t xml:space="preserve"> by appointment</w:t>
      </w:r>
    </w:p>
    <w:p w:rsidR="00CE2D9C" w:rsidRDefault="00FA5A7C">
      <w:pPr>
        <w:rPr>
          <w:rFonts w:ascii="Verdana" w:hAnsi="Verdana"/>
          <w:color w:val="000000"/>
          <w:sz w:val="21"/>
          <w:szCs w:val="21"/>
          <w:shd w:val="clear" w:color="auto" w:fill="FFFFFF"/>
        </w:rPr>
      </w:pPr>
      <w:r w:rsidRPr="00FA5A7C">
        <w:rPr>
          <w:bCs/>
          <w:lang w:val="en-US"/>
        </w:rPr>
        <w:t>Prerequisites</w:t>
      </w:r>
      <w:r w:rsidRPr="00FA5A7C">
        <w:rPr>
          <w:lang w:val="en-US"/>
        </w:rPr>
        <w:t>:</w:t>
      </w:r>
      <w:r w:rsidRPr="00FF2ACC">
        <w:rPr>
          <w:lang w:val="en-US"/>
        </w:rPr>
        <w:t xml:space="preserve"> </w:t>
      </w:r>
      <w:r>
        <w:rPr>
          <w:lang w:val="en-US"/>
        </w:rPr>
        <w:tab/>
      </w:r>
      <w:r w:rsidR="00D24B45">
        <w:rPr>
          <w:rFonts w:ascii="Verdana" w:hAnsi="Verdana"/>
          <w:color w:val="000000"/>
          <w:sz w:val="21"/>
          <w:szCs w:val="21"/>
          <w:shd w:val="clear" w:color="auto" w:fill="FFFFFF"/>
        </w:rPr>
        <w:t>PSYC 100 or permission of instructor</w:t>
      </w:r>
    </w:p>
    <w:p w:rsidR="00827D8E" w:rsidRDefault="00827D8E">
      <w:pPr>
        <w:rPr>
          <w:lang w:val="en-US"/>
        </w:rPr>
      </w:pPr>
      <w:r>
        <w:rPr>
          <w:rFonts w:ascii="Verdana" w:hAnsi="Verdana"/>
          <w:color w:val="000000"/>
          <w:sz w:val="21"/>
          <w:szCs w:val="21"/>
          <w:shd w:val="clear" w:color="auto" w:fill="FFFFFF"/>
        </w:rPr>
        <w:t>Readings: All required readings will be available online through GMU’s digital library</w:t>
      </w:r>
    </w:p>
    <w:p w:rsidR="00E40CBD" w:rsidRDefault="00E40CBD">
      <w:pPr>
        <w:rPr>
          <w:b/>
          <w:lang w:val="en-US"/>
        </w:rPr>
      </w:pPr>
      <w:r>
        <w:rPr>
          <w:b/>
          <w:lang w:val="en-US"/>
        </w:rPr>
        <w:t>Introduction</w:t>
      </w:r>
    </w:p>
    <w:p w:rsidR="00364E93" w:rsidRDefault="00364E93">
      <w:pPr>
        <w:rPr>
          <w:lang w:val="en-US"/>
        </w:rPr>
      </w:pPr>
      <w:r>
        <w:rPr>
          <w:lang w:val="en-US"/>
        </w:rPr>
        <w:t xml:space="preserve">Welcome to Mystery, Madness, and Murder. In this course we will explore some of the more taboo </w:t>
      </w:r>
      <w:r w:rsidR="00526FB9">
        <w:rPr>
          <w:lang w:val="en-US"/>
        </w:rPr>
        <w:t xml:space="preserve">and less explored </w:t>
      </w:r>
      <w:r>
        <w:rPr>
          <w:lang w:val="en-US"/>
        </w:rPr>
        <w:t>top</w:t>
      </w:r>
      <w:r w:rsidR="001E7BBE">
        <w:rPr>
          <w:lang w:val="en-US"/>
        </w:rPr>
        <w:t>ics in psychology. Topics we will</w:t>
      </w:r>
      <w:r>
        <w:rPr>
          <w:lang w:val="en-US"/>
        </w:rPr>
        <w:t xml:space="preserve"> explore include </w:t>
      </w:r>
      <w:r w:rsidR="006565BE">
        <w:rPr>
          <w:lang w:val="en-US"/>
        </w:rPr>
        <w:t xml:space="preserve">why psychopathy occurs, what motivates or predisposes individuals to commit violent or sexual crimes, </w:t>
      </w:r>
      <w:r w:rsidR="001E7BBE">
        <w:rPr>
          <w:lang w:val="en-US"/>
        </w:rPr>
        <w:t>how and why hallucinations occur</w:t>
      </w:r>
      <w:r w:rsidR="006565BE">
        <w:rPr>
          <w:lang w:val="en-US"/>
        </w:rPr>
        <w:t>, and other topics</w:t>
      </w:r>
      <w:r>
        <w:rPr>
          <w:lang w:val="en-US"/>
        </w:rPr>
        <w:t xml:space="preserve">. Throughout the course we will try to critically examine these topics through both behavioral and physiological data. My goal is to have us explore less covered topics </w:t>
      </w:r>
      <w:r w:rsidR="006C6530">
        <w:rPr>
          <w:lang w:val="en-US"/>
        </w:rPr>
        <w:t>and learn how to efficiently gather and process scientific information.</w:t>
      </w:r>
    </w:p>
    <w:p w:rsidR="00E40CBD" w:rsidRPr="00E40CBD" w:rsidRDefault="00364E93">
      <w:pPr>
        <w:rPr>
          <w:lang w:val="en-US"/>
        </w:rPr>
      </w:pPr>
      <w:r>
        <w:rPr>
          <w:lang w:val="en-US"/>
        </w:rPr>
        <w:t xml:space="preserve">As </w:t>
      </w:r>
      <w:r w:rsidR="006565BE">
        <w:rPr>
          <w:lang w:val="en-US"/>
        </w:rPr>
        <w:t xml:space="preserve">this is </w:t>
      </w:r>
      <w:r>
        <w:rPr>
          <w:lang w:val="en-US"/>
        </w:rPr>
        <w:t>an upper level course</w:t>
      </w:r>
      <w:r w:rsidR="006565BE">
        <w:rPr>
          <w:lang w:val="en-US"/>
        </w:rPr>
        <w:t>, I want to promote agency with all of the students and enable you to develop and refine your research and writing skills</w:t>
      </w:r>
      <w:r>
        <w:rPr>
          <w:lang w:val="en-US"/>
        </w:rPr>
        <w:t>.</w:t>
      </w:r>
      <w:r w:rsidR="006565BE">
        <w:rPr>
          <w:lang w:val="en-US"/>
        </w:rPr>
        <w:t xml:space="preserve"> As such, we will be get our readings directly from primary scientific sources and will spend class time both learning from the strengths of the articles and understanding their limitations. </w:t>
      </w:r>
    </w:p>
    <w:p w:rsidR="00364E93" w:rsidRDefault="00364E93" w:rsidP="00D24B45">
      <w:pPr>
        <w:rPr>
          <w:b/>
        </w:rPr>
      </w:pPr>
      <w:r>
        <w:rPr>
          <w:b/>
        </w:rPr>
        <w:t>Discussion Board</w:t>
      </w:r>
    </w:p>
    <w:p w:rsidR="008437EE" w:rsidRDefault="00364E93" w:rsidP="00D24B45">
      <w:r>
        <w:t>I a</w:t>
      </w:r>
      <w:r w:rsidR="006C6530">
        <w:t>i</w:t>
      </w:r>
      <w:r>
        <w:t xml:space="preserve">m to promote intelligent discussion on the readings that will be presented during the course. </w:t>
      </w:r>
      <w:r w:rsidR="006565BE">
        <w:t>To facilitate discussion, we will be using blackboard</w:t>
      </w:r>
      <w:r w:rsidR="00285869">
        <w:t xml:space="preserve">’s discussion boards. </w:t>
      </w:r>
      <w:r w:rsidR="007D4D04">
        <w:t>For each article</w:t>
      </w:r>
      <w:r w:rsidR="00285869">
        <w:t xml:space="preserve"> </w:t>
      </w:r>
      <w:r w:rsidR="006565BE">
        <w:t>everyone will be required to create 1 topic about a reading</w:t>
      </w:r>
      <w:r w:rsidR="00F468F7">
        <w:t xml:space="preserve"> or reply to someone’s topic on a reading</w:t>
      </w:r>
      <w:r w:rsidR="00A60E6F">
        <w:t xml:space="preserve">. </w:t>
      </w:r>
      <w:r w:rsidR="006C6530">
        <w:t>A topic could be a question about the reading, an insight you had about the reading, or an opinion you had ab</w:t>
      </w:r>
      <w:r w:rsidR="007841C9">
        <w:t>out the readings.</w:t>
      </w:r>
    </w:p>
    <w:p w:rsidR="007841C9" w:rsidRDefault="00A739AF" w:rsidP="00D24B45">
      <w:r>
        <w:t>The</w:t>
      </w:r>
      <w:r w:rsidR="00F918B2">
        <w:t xml:space="preserve"> discussion board posts are due a week after the posted date for the articles. For example, the first four articles discussion board’s postings are due by 9/7/2020. </w:t>
      </w:r>
    </w:p>
    <w:p w:rsidR="00F918B2" w:rsidRDefault="00F918B2" w:rsidP="00D24B45">
      <w:r>
        <w:t>On the calendar, you will see that we have openings for “class‘ choice“ articles. If you have a topic you are interested in, email me and I’ll see if we can get articles related to that topic that are su</w:t>
      </w:r>
      <w:r w:rsidR="00E81A68">
        <w:t xml:space="preserve">itable for this class. I have many other topics we can choose from otherwise. </w:t>
      </w:r>
      <w:bookmarkStart w:id="0" w:name="_GoBack"/>
      <w:bookmarkEnd w:id="0"/>
    </w:p>
    <w:p w:rsidR="00F468F7" w:rsidRDefault="00F468F7" w:rsidP="00D24B45"/>
    <w:p w:rsidR="00CE2D9C" w:rsidRPr="00CE2D9C" w:rsidRDefault="00CE2D9C">
      <w:pPr>
        <w:rPr>
          <w:b/>
        </w:rPr>
      </w:pPr>
      <w:r w:rsidRPr="00CE2D9C">
        <w:rPr>
          <w:b/>
        </w:rPr>
        <w:t>Exams</w:t>
      </w:r>
    </w:p>
    <w:p w:rsidR="00CE2D9C" w:rsidRDefault="00CE2D9C">
      <w:r>
        <w:lastRenderedPageBreak/>
        <w:t xml:space="preserve">There will be </w:t>
      </w:r>
      <w:r w:rsidR="008F7D42">
        <w:t>one take home midterm and one take home final for this course. Due to the open ended nature of this course, the exams will consist of open ended essay questions, where you will be required to critically, thoughtfully, and clearly respond to the questions. You will be allowed to use your notes and any research article</w:t>
      </w:r>
      <w:r w:rsidR="00D74F05">
        <w:t>s you need, but you must cite th</w:t>
      </w:r>
      <w:r w:rsidR="008F7D42">
        <w:t xml:space="preserve">e sources that you use. The exam should be taken independently. While asking general questions with your classmates is fine, working together on the essay questions is not allowed. </w:t>
      </w:r>
      <w:r w:rsidR="00167C2C">
        <w:t xml:space="preserve">Late exams will incur a 10% reduction per day (e.g. an exam turned in 2 days late will have a maximum possible score of 80%). </w:t>
      </w:r>
    </w:p>
    <w:p w:rsidR="00276D8C" w:rsidRDefault="007F5CEC">
      <w:pPr>
        <w:rPr>
          <w:b/>
        </w:rPr>
      </w:pPr>
      <w:r>
        <w:rPr>
          <w:b/>
        </w:rPr>
        <w:t xml:space="preserve">Paper </w:t>
      </w:r>
    </w:p>
    <w:p w:rsidR="000F439A" w:rsidRDefault="000F439A">
      <w:r>
        <w:t xml:space="preserve">Your assignment for this paper is to write a brief literature review on a topic of you choosing related to </w:t>
      </w:r>
      <w:r w:rsidR="000856F5">
        <w:t>our topics</w:t>
      </w:r>
      <w:r>
        <w:t>. Your topic should be relatively narrow so you won’t have</w:t>
      </w:r>
      <w:r w:rsidR="003C2CC0">
        <w:t xml:space="preserve"> too much information to review. </w:t>
      </w:r>
      <w:r w:rsidR="003C2CC0" w:rsidRPr="0060332D">
        <w:rPr>
          <w:b/>
        </w:rPr>
        <w:t>You are required to present a summary of your topic and 2-3 refer</w:t>
      </w:r>
      <w:r w:rsidR="0060332D" w:rsidRPr="0060332D">
        <w:rPr>
          <w:b/>
        </w:rPr>
        <w:t xml:space="preserve">ences related to your topic by </w:t>
      </w:r>
      <w:r w:rsidR="00F918B2">
        <w:rPr>
          <w:b/>
          <w:highlight w:val="yellow"/>
        </w:rPr>
        <w:t>10/28/2020</w:t>
      </w:r>
      <w:r w:rsidR="003C2CC0" w:rsidRPr="00C560A0">
        <w:rPr>
          <w:b/>
          <w:highlight w:val="yellow"/>
        </w:rPr>
        <w:t>.</w:t>
      </w:r>
      <w:r w:rsidR="003C2CC0">
        <w:t xml:space="preserve"> This summary will help me guide your literature review well in advance of the papers due date. </w:t>
      </w:r>
    </w:p>
    <w:p w:rsidR="008E0B2D" w:rsidRDefault="008E0B2D">
      <w:r>
        <w:t xml:space="preserve">While a clear writing style and formatting is important for the paper, content is most important. Make sure that your evidence is based on the research that you have studied rather than personal opinions or conjecture. </w:t>
      </w:r>
    </w:p>
    <w:p w:rsidR="003C2CC0" w:rsidRDefault="003C2CC0">
      <w:r>
        <w:t xml:space="preserve">Your paper must be written in APA style and have a minimum of 6 references from peer reviewed journals. </w:t>
      </w:r>
      <w:r w:rsidR="00C66F03">
        <w:t xml:space="preserve">The minimum page requirement is 5 pages; the maximum page limit is 10 pages (double spaced and not including the reference list). </w:t>
      </w:r>
      <w:r>
        <w:t xml:space="preserve">Remember to include a reference </w:t>
      </w:r>
      <w:r w:rsidR="00C66F03">
        <w:t>list</w:t>
      </w:r>
      <w:r>
        <w:t xml:space="preserve">. </w:t>
      </w:r>
      <w:r w:rsidR="008437EE">
        <w:t>A title page and abstract are not required and will not count towards the page limits.</w:t>
      </w:r>
    </w:p>
    <w:p w:rsidR="000F439A" w:rsidRPr="000F439A" w:rsidRDefault="000856F5">
      <w:pPr>
        <w:rPr>
          <w:b/>
        </w:rPr>
      </w:pPr>
      <w:r>
        <w:rPr>
          <w:b/>
        </w:rPr>
        <w:t xml:space="preserve">Paper is due by </w:t>
      </w:r>
      <w:r w:rsidR="00A739AF">
        <w:rPr>
          <w:b/>
          <w:highlight w:val="yellow"/>
        </w:rPr>
        <w:t>12/5/2020</w:t>
      </w:r>
      <w:r w:rsidR="00C03009">
        <w:rPr>
          <w:b/>
          <w:highlight w:val="yellow"/>
        </w:rPr>
        <w:t>.</w:t>
      </w:r>
      <w:r w:rsidR="000F439A">
        <w:rPr>
          <w:b/>
        </w:rPr>
        <w:t xml:space="preserve"> </w:t>
      </w:r>
    </w:p>
    <w:p w:rsidR="00086AE0" w:rsidRDefault="00086AE0">
      <w:pPr>
        <w:rPr>
          <w:b/>
        </w:rPr>
      </w:pPr>
      <w:r>
        <w:rPr>
          <w:b/>
        </w:rPr>
        <w:t>Grading</w:t>
      </w:r>
    </w:p>
    <w:p w:rsidR="00F77230" w:rsidRDefault="00F77230" w:rsidP="00C62B1A">
      <w:pPr>
        <w:ind w:left="720" w:hanging="720"/>
      </w:pPr>
      <w:r>
        <w:t xml:space="preserve">Participation: </w:t>
      </w:r>
      <w:r w:rsidR="00710248">
        <w:t>16</w:t>
      </w:r>
      <w:r w:rsidR="000856F5">
        <w:t>%</w:t>
      </w:r>
      <w:r w:rsidR="008115C4">
        <w:t xml:space="preserve"> (Discussion Board) </w:t>
      </w:r>
    </w:p>
    <w:p w:rsidR="00086AE0" w:rsidRDefault="00B720D1">
      <w:r>
        <w:t>Midterm</w:t>
      </w:r>
      <w:r w:rsidR="00710248">
        <w:t>: 28</w:t>
      </w:r>
      <w:r w:rsidR="000856F5">
        <w:t>%</w:t>
      </w:r>
    </w:p>
    <w:p w:rsidR="00F77230" w:rsidRDefault="00B720D1">
      <w:r>
        <w:t>Paper:</w:t>
      </w:r>
      <w:r w:rsidR="00710248">
        <w:t xml:space="preserve"> 28</w:t>
      </w:r>
      <w:r w:rsidR="000856F5">
        <w:t>%</w:t>
      </w:r>
    </w:p>
    <w:p w:rsidR="00F77230" w:rsidRDefault="00B720D1">
      <w:r>
        <w:t>Final</w:t>
      </w:r>
      <w:r w:rsidR="00710248">
        <w:t>: 28</w:t>
      </w:r>
      <w:r w:rsidR="000856F5">
        <w:t>%</w:t>
      </w:r>
      <w:r w:rsidR="00F77230">
        <w:t xml:space="preserve"> </w:t>
      </w:r>
    </w:p>
    <w:p w:rsidR="00F77230" w:rsidRDefault="00B720D1" w:rsidP="000856F5">
      <w:pPr>
        <w:pBdr>
          <w:bottom w:val="single" w:sz="6" w:space="1" w:color="auto"/>
        </w:pBdr>
      </w:pPr>
      <w:r>
        <w:t>Total</w:t>
      </w:r>
      <w:r w:rsidR="00F77230">
        <w:t xml:space="preserve">: 100 </w:t>
      </w:r>
      <w:r w:rsidR="000856F5">
        <w:t>%</w:t>
      </w:r>
    </w:p>
    <w:p w:rsidR="000F439A" w:rsidRDefault="000F439A">
      <w:pPr>
        <w:rPr>
          <w:b/>
        </w:rPr>
      </w:pPr>
      <w:r>
        <w:rPr>
          <w:b/>
        </w:rPr>
        <w:t>Grading Scale (As a percentage of total points)</w:t>
      </w:r>
    </w:p>
    <w:p w:rsidR="000F439A" w:rsidRDefault="000F439A">
      <w:r>
        <w:t>A  = 100-94</w:t>
      </w:r>
      <w:r>
        <w:tab/>
        <w:t>A- = 93-90</w:t>
      </w:r>
    </w:p>
    <w:p w:rsidR="000F439A" w:rsidRDefault="001251BE">
      <w:r>
        <w:t>B+ = 89-8</w:t>
      </w:r>
      <w:r w:rsidR="000F439A">
        <w:t>7</w:t>
      </w:r>
      <w:r w:rsidR="000F439A">
        <w:tab/>
        <w:t>B = 86-84</w:t>
      </w:r>
      <w:r w:rsidR="000F439A">
        <w:tab/>
        <w:t>B- = 83-80</w:t>
      </w:r>
    </w:p>
    <w:p w:rsidR="000F439A" w:rsidRDefault="001251BE">
      <w:r>
        <w:t>C</w:t>
      </w:r>
      <w:r w:rsidR="000F439A">
        <w:t xml:space="preserve"> = 79-7</w:t>
      </w:r>
      <w:r>
        <w:t>0</w:t>
      </w:r>
    </w:p>
    <w:p w:rsidR="000F439A" w:rsidRDefault="000F439A">
      <w:r>
        <w:lastRenderedPageBreak/>
        <w:t>D = 69</w:t>
      </w:r>
      <w:r w:rsidR="003B403E">
        <w:t>-60</w:t>
      </w:r>
      <w:r>
        <w:tab/>
      </w:r>
    </w:p>
    <w:p w:rsidR="000F439A" w:rsidRPr="000F439A" w:rsidRDefault="000F439A" w:rsidP="001B38C6">
      <w:pPr>
        <w:ind w:left="720" w:hanging="720"/>
      </w:pPr>
      <w:r>
        <w:t xml:space="preserve">F &lt; 60 </w:t>
      </w:r>
    </w:p>
    <w:p w:rsidR="00761EBC" w:rsidRDefault="00761EBC" w:rsidP="00F77230">
      <w:pPr>
        <w:rPr>
          <w:b/>
          <w:lang w:val="en-US"/>
        </w:rPr>
      </w:pPr>
      <w:r>
        <w:rPr>
          <w:b/>
          <w:lang w:val="en-US"/>
        </w:rPr>
        <w:t>Drop/Add</w:t>
      </w:r>
    </w:p>
    <w:p w:rsidR="00687227" w:rsidRPr="00B1643C" w:rsidRDefault="00687227" w:rsidP="00687227">
      <w:pPr>
        <w:pStyle w:val="NormalWeb"/>
        <w:rPr>
          <w:rFonts w:ascii="Calibri" w:hAnsi="Calibri" w:cs="Calibri"/>
          <w:color w:val="000000"/>
          <w:sz w:val="22"/>
          <w:szCs w:val="22"/>
        </w:rPr>
      </w:pPr>
      <w:r w:rsidRPr="00B1643C">
        <w:rPr>
          <w:rFonts w:ascii="Calibri" w:hAnsi="Calibri" w:cs="Calibri"/>
          <w:color w:val="000000"/>
          <w:sz w:val="22"/>
          <w:szCs w:val="22"/>
        </w:rPr>
        <w:t>· Students are responsible for verifying their enrollment in this class. Schedule adjustments should be made by the deadlines published in the Schedule of Classes</w:t>
      </w:r>
    </w:p>
    <w:p w:rsidR="007D4D04" w:rsidRPr="00777953" w:rsidRDefault="007D4D04" w:rsidP="007D4D04">
      <w:pPr>
        <w:rPr>
          <w:rFonts w:ascii="Arial" w:hAnsi="Arial" w:cs="Arial"/>
          <w:b/>
        </w:rPr>
      </w:pPr>
      <w:r w:rsidRPr="00777953">
        <w:rPr>
          <w:rFonts w:ascii="Arial" w:hAnsi="Arial" w:cs="Arial"/>
          <w:b/>
        </w:rPr>
        <w:t>Last Day to Add Classes: August 31</w:t>
      </w:r>
    </w:p>
    <w:p w:rsidR="007D4D04" w:rsidRPr="00777953" w:rsidRDefault="007D4D04" w:rsidP="007D4D04">
      <w:pPr>
        <w:rPr>
          <w:rFonts w:ascii="Arial" w:hAnsi="Arial" w:cs="Arial"/>
          <w:b/>
        </w:rPr>
      </w:pPr>
      <w:r w:rsidRPr="00777953">
        <w:rPr>
          <w:rFonts w:ascii="Arial" w:hAnsi="Arial" w:cs="Arial"/>
          <w:b/>
        </w:rPr>
        <w:t>Last Day to Drop with No Tuition Penalty: September 8</w:t>
      </w:r>
    </w:p>
    <w:p w:rsidR="007D4D04" w:rsidRPr="00777953" w:rsidRDefault="007D4D04" w:rsidP="007D4D04">
      <w:pPr>
        <w:rPr>
          <w:rFonts w:ascii="Arial" w:hAnsi="Arial" w:cs="Arial"/>
          <w:b/>
        </w:rPr>
      </w:pPr>
      <w:r w:rsidRPr="00777953">
        <w:rPr>
          <w:rFonts w:ascii="Arial" w:hAnsi="Arial" w:cs="Arial"/>
          <w:b/>
        </w:rPr>
        <w:t xml:space="preserve">Final Drop Deadline (50% Tuition Penalty): September 15 </w:t>
      </w:r>
    </w:p>
    <w:p w:rsidR="007D4D04" w:rsidRPr="00777953" w:rsidRDefault="007D4D04" w:rsidP="007D4D04">
      <w:pPr>
        <w:rPr>
          <w:rFonts w:ascii="Arial" w:hAnsi="Arial" w:cs="Arial"/>
          <w:b/>
        </w:rPr>
      </w:pPr>
      <w:r>
        <w:rPr>
          <w:rFonts w:ascii="Arial" w:hAnsi="Arial" w:cs="Arial"/>
          <w:b/>
        </w:rPr>
        <w:t xml:space="preserve">Unrestricted withdrawal period: </w:t>
      </w:r>
      <w:r w:rsidRPr="00777953">
        <w:rPr>
          <w:rFonts w:ascii="Arial" w:hAnsi="Arial" w:cs="Arial"/>
          <w:b/>
        </w:rPr>
        <w:t>Wed. Sept 16 - Mon. Sept 28</w:t>
      </w:r>
    </w:p>
    <w:p w:rsidR="00687227" w:rsidRPr="00B1643C" w:rsidRDefault="00687227" w:rsidP="00687227">
      <w:pPr>
        <w:pStyle w:val="NormalWeb"/>
        <w:rPr>
          <w:rFonts w:ascii="Calibri" w:hAnsi="Calibri" w:cs="Calibri"/>
          <w:color w:val="000000"/>
          <w:sz w:val="22"/>
          <w:szCs w:val="22"/>
        </w:rPr>
      </w:pPr>
      <w:r w:rsidRPr="00B1643C">
        <w:rPr>
          <w:rFonts w:ascii="Calibri" w:hAnsi="Calibri" w:cs="Calibri"/>
          <w:color w:val="000000"/>
          <w:sz w:val="22"/>
          <w:szCs w:val="22"/>
        </w:rPr>
        <w:t>·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6658A5" w:rsidRPr="006658A5" w:rsidRDefault="006658A5" w:rsidP="00F77230">
      <w:pPr>
        <w:rPr>
          <w:b/>
          <w:bCs/>
          <w:lang w:val="en-US"/>
        </w:rPr>
      </w:pPr>
      <w:r w:rsidRPr="006658A5">
        <w:rPr>
          <w:b/>
          <w:bCs/>
          <w:lang w:val="en-US"/>
        </w:rPr>
        <w:t xml:space="preserve">Mason Honor Code:  </w:t>
      </w:r>
    </w:p>
    <w:p w:rsidR="006658A5" w:rsidRDefault="006658A5" w:rsidP="00F77230">
      <w:pPr>
        <w:rPr>
          <w:rFonts w:ascii="Arial" w:hAnsi="Arial" w:cs="Arial"/>
          <w:b/>
          <w:bCs/>
          <w:i/>
          <w:iCs/>
          <w:color w:val="383838"/>
          <w:sz w:val="21"/>
          <w:szCs w:val="21"/>
          <w:shd w:val="clear" w:color="auto" w:fill="F6F6F6"/>
        </w:rPr>
      </w:pPr>
      <w:r>
        <w:rPr>
          <w:rFonts w:ascii="Arial" w:hAnsi="Arial" w:cs="Arial"/>
          <w:b/>
          <w:bCs/>
          <w:i/>
          <w:iCs/>
          <w:color w:val="383838"/>
          <w:sz w:val="21"/>
          <w:szCs w:val="21"/>
          <w:shd w:val="clear" w:color="auto" w:fill="F6F6F6"/>
        </w:rPr>
        <w:t>Student members of the George Mason University community pledge not to cheat, plagiarize, steal, or lie in matters related to academic work.</w:t>
      </w:r>
    </w:p>
    <w:p w:rsidR="006658A5" w:rsidRPr="003C2CC0" w:rsidRDefault="006658A5" w:rsidP="00F77230">
      <w:pPr>
        <w:rPr>
          <w:rFonts w:ascii="Arial" w:hAnsi="Arial" w:cs="Arial"/>
          <w:bCs/>
          <w:iCs/>
          <w:color w:val="383838"/>
          <w:sz w:val="21"/>
          <w:szCs w:val="21"/>
          <w:shd w:val="clear" w:color="auto" w:fill="F6F6F6"/>
        </w:rPr>
      </w:pPr>
      <w:r>
        <w:rPr>
          <w:rFonts w:ascii="Arial" w:hAnsi="Arial" w:cs="Arial"/>
          <w:bCs/>
          <w:iCs/>
          <w:color w:val="383838"/>
          <w:sz w:val="21"/>
          <w:szCs w:val="21"/>
          <w:shd w:val="clear" w:color="auto" w:fill="F6F6F6"/>
        </w:rPr>
        <w:t xml:space="preserve">For information regarding the specifics of the honor code, visit </w:t>
      </w:r>
      <w:hyperlink r:id="rId6" w:history="1">
        <w:r w:rsidRPr="001B169F">
          <w:rPr>
            <w:rStyle w:val="Hyperlink"/>
            <w:rFonts w:ascii="Arial" w:hAnsi="Arial" w:cs="Arial"/>
            <w:bCs/>
            <w:iCs/>
            <w:sz w:val="21"/>
            <w:szCs w:val="21"/>
            <w:shd w:val="clear" w:color="auto" w:fill="F6F6F6"/>
          </w:rPr>
          <w:t>http://oai.gmu.edu/</w:t>
        </w:r>
      </w:hyperlink>
      <w:r>
        <w:rPr>
          <w:rFonts w:ascii="Arial" w:hAnsi="Arial" w:cs="Arial"/>
          <w:bCs/>
          <w:iCs/>
          <w:color w:val="383838"/>
          <w:sz w:val="21"/>
          <w:szCs w:val="21"/>
          <w:shd w:val="clear" w:color="auto" w:fill="F6F6F6"/>
        </w:rPr>
        <w:t xml:space="preserve">. If you have a specific question regarding the honor code in this class, please ask me. Any engagement in academic dishonosty can result in an automatic failure of the course and will be reported to the </w:t>
      </w:r>
      <w:r w:rsidR="003C2CC0">
        <w:rPr>
          <w:rFonts w:ascii="Arial" w:hAnsi="Arial" w:cs="Arial"/>
          <w:bCs/>
          <w:iCs/>
          <w:color w:val="383838"/>
          <w:sz w:val="21"/>
          <w:szCs w:val="21"/>
          <w:shd w:val="clear" w:color="auto" w:fill="F6F6F6"/>
        </w:rPr>
        <w:t xml:space="preserve">Office of Academic Integrity. </w:t>
      </w:r>
    </w:p>
    <w:p w:rsidR="006658A5" w:rsidRDefault="006658A5" w:rsidP="00F77230">
      <w:pPr>
        <w:rPr>
          <w:b/>
          <w:bCs/>
          <w:lang w:val="en-US"/>
        </w:rPr>
      </w:pPr>
      <w:r>
        <w:rPr>
          <w:b/>
          <w:bCs/>
          <w:lang w:val="en-US"/>
        </w:rPr>
        <w:t>Communications:</w:t>
      </w:r>
    </w:p>
    <w:p w:rsidR="006658A5" w:rsidRDefault="006658A5" w:rsidP="006658A5">
      <w:pPr>
        <w:rPr>
          <w:bCs/>
          <w:lang w:val="en-US"/>
        </w:rPr>
      </w:pPr>
      <w:r w:rsidRPr="006658A5">
        <w:rPr>
          <w:bCs/>
          <w:lang w:val="en-US"/>
        </w:rPr>
        <w:t xml:space="preserve">"Official Communications via GMU E-mail: Mason </w:t>
      </w:r>
      <w:r>
        <w:rPr>
          <w:bCs/>
          <w:lang w:val="en-US"/>
        </w:rPr>
        <w:t xml:space="preserve">uses electronic mail to provide </w:t>
      </w:r>
      <w:r w:rsidRPr="006658A5">
        <w:rPr>
          <w:bCs/>
          <w:lang w:val="en-US"/>
        </w:rPr>
        <w:t>official information to students. Examples inc</w:t>
      </w:r>
      <w:r>
        <w:rPr>
          <w:bCs/>
          <w:lang w:val="en-US"/>
        </w:rPr>
        <w:t xml:space="preserve">lude communications from course </w:t>
      </w:r>
      <w:r w:rsidRPr="006658A5">
        <w:rPr>
          <w:bCs/>
          <w:lang w:val="en-US"/>
        </w:rPr>
        <w:t>instructors, notices form the library, notices about a</w:t>
      </w:r>
      <w:r>
        <w:rPr>
          <w:bCs/>
          <w:lang w:val="en-US"/>
        </w:rPr>
        <w:t xml:space="preserve">cademic standing, financial aid </w:t>
      </w:r>
      <w:r w:rsidRPr="006658A5">
        <w:rPr>
          <w:bCs/>
          <w:lang w:val="en-US"/>
        </w:rPr>
        <w:t>information, class materials, assignments, questions, an</w:t>
      </w:r>
      <w:r>
        <w:rPr>
          <w:bCs/>
          <w:lang w:val="en-US"/>
        </w:rPr>
        <w:t xml:space="preserve">d instructor feedback. Students </w:t>
      </w:r>
      <w:r w:rsidRPr="006658A5">
        <w:rPr>
          <w:bCs/>
          <w:lang w:val="en-US"/>
        </w:rPr>
        <w:t>are responsible for the content of university communica</w:t>
      </w:r>
      <w:r>
        <w:rPr>
          <w:bCs/>
          <w:lang w:val="en-US"/>
        </w:rPr>
        <w:t xml:space="preserve">tion sent to their mason e-mail </w:t>
      </w:r>
      <w:r w:rsidRPr="006658A5">
        <w:rPr>
          <w:bCs/>
          <w:lang w:val="en-US"/>
        </w:rPr>
        <w:t>account, and are required to activate that a</w:t>
      </w:r>
      <w:r>
        <w:rPr>
          <w:bCs/>
          <w:lang w:val="en-US"/>
        </w:rPr>
        <w:t>ccount and check it regularly."</w:t>
      </w:r>
    </w:p>
    <w:p w:rsidR="006658A5" w:rsidRDefault="006658A5" w:rsidP="006658A5">
      <w:pPr>
        <w:rPr>
          <w:b/>
          <w:bCs/>
          <w:lang w:val="en-US"/>
        </w:rPr>
      </w:pPr>
      <w:r>
        <w:rPr>
          <w:b/>
          <w:bCs/>
          <w:lang w:val="en-US"/>
        </w:rPr>
        <w:t>Accommodations:</w:t>
      </w:r>
    </w:p>
    <w:p w:rsidR="006658A5" w:rsidRDefault="006658A5" w:rsidP="006658A5">
      <w:pPr>
        <w:rPr>
          <w:bCs/>
          <w:lang w:val="en-US"/>
        </w:rPr>
      </w:pPr>
      <w:r>
        <w:rPr>
          <w:bCs/>
          <w:lang w:val="en-US"/>
        </w:rPr>
        <w:t xml:space="preserve">“If you are a student with disability and you need academic accommodations, please see me and contact the Disability Resource Center (DRC) at 709-993-2474. All academic </w:t>
      </w:r>
      <w:r w:rsidR="001E7BBE">
        <w:rPr>
          <w:bCs/>
          <w:lang w:val="en-US"/>
        </w:rPr>
        <w:t>accommodations</w:t>
      </w:r>
      <w:r>
        <w:rPr>
          <w:bCs/>
          <w:lang w:val="en-US"/>
        </w:rPr>
        <w:t xml:space="preserve"> must be arranged through that office.” </w:t>
      </w:r>
    </w:p>
    <w:p w:rsidR="00E0640D" w:rsidRDefault="00E0640D" w:rsidP="00E0640D">
      <w:pPr>
        <w:rPr>
          <w:b/>
        </w:rPr>
      </w:pPr>
      <w:r>
        <w:rPr>
          <w:b/>
        </w:rPr>
        <w:t xml:space="preserve">Technology </w:t>
      </w:r>
    </w:p>
    <w:p w:rsidR="00E0640D" w:rsidRPr="00E0640D" w:rsidRDefault="00E0640D" w:rsidP="006658A5">
      <w:r>
        <w:lastRenderedPageBreak/>
        <w:t xml:space="preserve">A computer will be required to access digital libraries for your Paper and to use Blackboard. If you do not have access to a computer, there are many computer labs around campus that are available to you. </w:t>
      </w:r>
    </w:p>
    <w:p w:rsidR="00F918B2" w:rsidRDefault="00054F29">
      <w:pPr>
        <w:rPr>
          <w:b/>
        </w:rPr>
      </w:pPr>
      <w:r>
        <w:rPr>
          <w:b/>
        </w:rPr>
        <w:t>Calendar</w:t>
      </w:r>
    </w:p>
    <w:p w:rsidR="001E7BBE" w:rsidRDefault="001E7BBE">
      <w:pPr>
        <w:rPr>
          <w:b/>
        </w:rPr>
      </w:pPr>
    </w:p>
    <w:p w:rsidR="003A2EB9" w:rsidRDefault="003A2EB9">
      <w:r>
        <w:rPr>
          <w:b/>
        </w:rPr>
        <w:t xml:space="preserve">Disclaimer: </w:t>
      </w:r>
      <w:r>
        <w:t xml:space="preserve">The information on this calendar is subject to change. </w:t>
      </w:r>
    </w:p>
    <w:tbl>
      <w:tblPr>
        <w:tblStyle w:val="PlainTable1"/>
        <w:tblW w:w="0" w:type="auto"/>
        <w:tblLayout w:type="fixed"/>
        <w:tblLook w:val="04A0" w:firstRow="1" w:lastRow="0" w:firstColumn="1" w:lastColumn="0" w:noHBand="0" w:noVBand="1"/>
      </w:tblPr>
      <w:tblGrid>
        <w:gridCol w:w="1525"/>
        <w:gridCol w:w="5040"/>
        <w:gridCol w:w="2785"/>
      </w:tblGrid>
      <w:tr w:rsidR="00906F58" w:rsidTr="00784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761EBC" w:rsidRPr="00472EAC" w:rsidRDefault="00F468F7">
            <w:pPr>
              <w:rPr>
                <w:b w:val="0"/>
              </w:rPr>
            </w:pPr>
            <w:r w:rsidRPr="00F468F7">
              <w:t>Week of</w:t>
            </w:r>
          </w:p>
        </w:tc>
        <w:tc>
          <w:tcPr>
            <w:tcW w:w="5040" w:type="dxa"/>
          </w:tcPr>
          <w:p w:rsidR="00761EBC" w:rsidRDefault="001B38C6" w:rsidP="00F918B2">
            <w:pPr>
              <w:cnfStyle w:val="100000000000" w:firstRow="1" w:lastRow="0" w:firstColumn="0" w:lastColumn="0" w:oddVBand="0" w:evenVBand="0" w:oddHBand="0" w:evenHBand="0" w:firstRowFirstColumn="0" w:firstRowLastColumn="0" w:lastRowFirstColumn="0" w:lastRowLastColumn="0"/>
            </w:pPr>
            <w:r>
              <w:t>Readings</w:t>
            </w:r>
            <w:r w:rsidR="00F918B2">
              <w:t xml:space="preserve"> </w:t>
            </w:r>
          </w:p>
        </w:tc>
        <w:tc>
          <w:tcPr>
            <w:tcW w:w="2785" w:type="dxa"/>
          </w:tcPr>
          <w:p w:rsidR="00761EBC" w:rsidRDefault="00F918B2">
            <w:pPr>
              <w:cnfStyle w:val="100000000000" w:firstRow="1" w:lastRow="0" w:firstColumn="0" w:lastColumn="0" w:oddVBand="0" w:evenVBand="0" w:oddHBand="0" w:evenHBand="0" w:firstRowFirstColumn="0" w:firstRowLastColumn="0" w:lastRowFirstColumn="0" w:lastRowLastColumn="0"/>
            </w:pPr>
            <w:r>
              <w:t>Topic</w:t>
            </w:r>
          </w:p>
        </w:tc>
      </w:tr>
      <w:tr w:rsidR="00472EAC"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24-Aug</w:t>
            </w:r>
          </w:p>
          <w:p w:rsidR="00472EAC" w:rsidRDefault="00472EAC" w:rsidP="00472EAC">
            <w:pPr>
              <w:spacing w:after="0" w:line="240" w:lineRule="auto"/>
              <w:jc w:val="right"/>
              <w:rPr>
                <w:rFonts w:ascii="Calibri" w:hAnsi="Calibri" w:cs="Calibri"/>
                <w:color w:val="000000"/>
                <w:lang w:val="en-US"/>
              </w:rPr>
            </w:pPr>
          </w:p>
        </w:tc>
        <w:tc>
          <w:tcPr>
            <w:tcW w:w="5040" w:type="dxa"/>
          </w:tcPr>
          <w:p w:rsidR="00472EAC" w:rsidRDefault="00472EAC" w:rsidP="00472EAC">
            <w:pPr>
              <w:cnfStyle w:val="000000100000" w:firstRow="0" w:lastRow="0" w:firstColumn="0" w:lastColumn="0" w:oddVBand="0" w:evenVBand="0" w:oddHBand="1" w:evenHBand="0" w:firstRowFirstColumn="0" w:firstRowLastColumn="0" w:lastRowFirstColumn="0" w:lastRowLastColumn="0"/>
            </w:pPr>
          </w:p>
        </w:tc>
        <w:tc>
          <w:tcPr>
            <w:tcW w:w="2785" w:type="dxa"/>
          </w:tcPr>
          <w:p w:rsidR="00472EAC" w:rsidRDefault="00472EAC" w:rsidP="00472EAC">
            <w:pPr>
              <w:cnfStyle w:val="000000100000" w:firstRow="0" w:lastRow="0" w:firstColumn="0" w:lastColumn="0" w:oddVBand="0" w:evenVBand="0" w:oddHBand="1" w:evenHBand="0" w:firstRowFirstColumn="0" w:firstRowLastColumn="0" w:lastRowFirstColumn="0" w:lastRowLastColumn="0"/>
            </w:pPr>
            <w:r>
              <w:t>Introduction, Syllabus, course organization, and scientific method primer</w:t>
            </w:r>
          </w:p>
        </w:tc>
      </w:tr>
      <w:tr w:rsidR="00472EAC"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472EAC" w:rsidRDefault="00472EAC" w:rsidP="00472EAC">
            <w:pPr>
              <w:jc w:val="right"/>
              <w:rPr>
                <w:rFonts w:ascii="Calibri" w:hAnsi="Calibri" w:cs="Calibri"/>
                <w:color w:val="000000"/>
              </w:rPr>
            </w:pPr>
          </w:p>
        </w:tc>
        <w:tc>
          <w:tcPr>
            <w:tcW w:w="5040" w:type="dxa"/>
          </w:tcPr>
          <w:p w:rsidR="00472EAC" w:rsidRPr="00D47F16" w:rsidRDefault="00472EAC" w:rsidP="00472EAC">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shd w:val="clear" w:color="auto" w:fill="FFFFFF"/>
              </w:rPr>
            </w:pPr>
          </w:p>
        </w:tc>
        <w:tc>
          <w:tcPr>
            <w:tcW w:w="2785" w:type="dxa"/>
          </w:tcPr>
          <w:p w:rsidR="00472EAC" w:rsidRDefault="00472EAC" w:rsidP="00472EAC">
            <w:pPr>
              <w:cnfStyle w:val="000000000000" w:firstRow="0" w:lastRow="0" w:firstColumn="0" w:lastColumn="0" w:oddVBand="0" w:evenVBand="0" w:oddHBand="0" w:evenHBand="0" w:firstRowFirstColumn="0" w:firstRowLastColumn="0" w:lastRowFirstColumn="0" w:lastRowLastColumn="0"/>
            </w:pPr>
            <w:r>
              <w:t xml:space="preserve">How to find scholarly articles. </w:t>
            </w:r>
          </w:p>
          <w:p w:rsidR="00472EAC" w:rsidRDefault="00472EAC" w:rsidP="00472EAC">
            <w:pPr>
              <w:cnfStyle w:val="000000000000" w:firstRow="0" w:lastRow="0" w:firstColumn="0" w:lastColumn="0" w:oddVBand="0" w:evenVBand="0" w:oddHBand="0" w:evenHBand="0" w:firstRowFirstColumn="0" w:firstRowLastColumn="0" w:lastRowFirstColumn="0" w:lastRowLastColumn="0"/>
            </w:pP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31-Aug</w:t>
            </w:r>
          </w:p>
          <w:p w:rsidR="00CE0172" w:rsidRDefault="00CE0172" w:rsidP="00CE0172">
            <w:pPr>
              <w:jc w:val="right"/>
              <w:rPr>
                <w:rFonts w:ascii="Calibri" w:hAnsi="Calibri" w:cs="Calibri"/>
                <w:color w:val="000000"/>
              </w:rPr>
            </w:pPr>
          </w:p>
        </w:tc>
        <w:tc>
          <w:tcPr>
            <w:tcW w:w="5040" w:type="dxa"/>
          </w:tcPr>
          <w:p w:rsidR="00420BF6" w:rsidRDefault="00420BF6" w:rsidP="00CE0172">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Baliousis, M., Duggan, C., McCarthy, L., Huband, N., &amp; Völlm, B. (2019). Executive function, attention, and memory deficits in antisocial personality disorder and psychopathy. </w:t>
            </w:r>
            <w:r>
              <w:rPr>
                <w:rFonts w:ascii="Arial" w:hAnsi="Arial" w:cs="Arial"/>
                <w:i/>
                <w:iCs/>
                <w:color w:val="222222"/>
                <w:sz w:val="20"/>
                <w:szCs w:val="20"/>
                <w:shd w:val="clear" w:color="auto" w:fill="FFFFFF"/>
              </w:rPr>
              <w:t>Psychiatry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278</w:t>
            </w:r>
            <w:r>
              <w:rPr>
                <w:rFonts w:ascii="Arial" w:hAnsi="Arial" w:cs="Arial"/>
                <w:color w:val="222222"/>
                <w:sz w:val="20"/>
                <w:szCs w:val="20"/>
                <w:shd w:val="clear" w:color="auto" w:fill="FFFFFF"/>
              </w:rPr>
              <w:t>, 151-161.</w:t>
            </w:r>
          </w:p>
          <w:p w:rsidR="00CE0172" w:rsidRPr="005E357E" w:rsidRDefault="00CE0172" w:rsidP="00CE0172">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Salekin, R. T. (2016). Psychopathy in childhood: Toward better informing the DSM–5 and ICD-11 conduct disorder specifiers. </w:t>
            </w:r>
            <w:r>
              <w:rPr>
                <w:rFonts w:ascii="Arial" w:hAnsi="Arial" w:cs="Arial"/>
                <w:i/>
                <w:iCs/>
                <w:color w:val="222222"/>
                <w:sz w:val="20"/>
                <w:szCs w:val="20"/>
                <w:shd w:val="clear" w:color="auto" w:fill="FFFFFF"/>
              </w:rPr>
              <w:t>Personality Disorders: Theory, Research, and Treatment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(2), 180.</w:t>
            </w:r>
          </w:p>
        </w:tc>
        <w:tc>
          <w:tcPr>
            <w:tcW w:w="2785" w:type="dxa"/>
          </w:tcPr>
          <w:p w:rsidR="00CE0172" w:rsidRDefault="007D4D04" w:rsidP="00CE0172">
            <w:pPr>
              <w:cnfStyle w:val="000000100000" w:firstRow="0" w:lastRow="0" w:firstColumn="0" w:lastColumn="0" w:oddVBand="0" w:evenVBand="0" w:oddHBand="1" w:evenHBand="0" w:firstRowFirstColumn="0" w:firstRowLastColumn="0" w:lastRowFirstColumn="0" w:lastRowLastColumn="0"/>
            </w:pPr>
            <w:r>
              <w:t>Antisocial personality disorder and Psychopathy</w:t>
            </w:r>
          </w:p>
        </w:tc>
      </w:tr>
      <w:tr w:rsidR="00CE0172" w:rsidTr="007841C9">
        <w:trPr>
          <w:trHeight w:val="7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Müller, J. L., Sommer, M., Döhnel, K., Weber, T., Schmidt</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Wilcke, T., &amp; Hajak, G. (2008). Disturbed prefrontal and temporal brain function during emotion and cognition interaction in criminal psychopathy. </w:t>
            </w:r>
            <w:r>
              <w:rPr>
                <w:rFonts w:ascii="Arial" w:hAnsi="Arial" w:cs="Arial"/>
                <w:i/>
                <w:iCs/>
                <w:color w:val="222222"/>
                <w:sz w:val="20"/>
                <w:szCs w:val="20"/>
                <w:shd w:val="clear" w:color="auto" w:fill="FFFFFF"/>
              </w:rPr>
              <w:t>Behavioral sciences &amp; the law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 131-150.</w:t>
            </w:r>
          </w:p>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Blair, R. J. R. (2001). Neurocognitive models of aggression, the antisocial personality disorders, and psychopathy. </w:t>
            </w:r>
            <w:r>
              <w:rPr>
                <w:rFonts w:ascii="Arial" w:eastAsia="Arial" w:hAnsi="Arial" w:cs="Arial"/>
                <w:i/>
                <w:color w:val="222222"/>
                <w:sz w:val="20"/>
                <w:shd w:val="clear" w:color="auto" w:fill="FFFFFF"/>
              </w:rPr>
              <w:t>Journal of Neurology, Neurosurgery &amp; Psychiatry</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71</w:t>
            </w:r>
            <w:r>
              <w:rPr>
                <w:rFonts w:ascii="Arial" w:eastAsia="Arial" w:hAnsi="Arial" w:cs="Arial"/>
                <w:color w:val="222222"/>
                <w:sz w:val="20"/>
                <w:shd w:val="clear" w:color="auto" w:fill="FFFFFF"/>
              </w:rPr>
              <w:t>(6), 727-731.</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t xml:space="preserve">antisocial </w:t>
            </w:r>
            <w:r w:rsidR="00A739AF">
              <w:t xml:space="preserve">personality </w:t>
            </w:r>
            <w:r>
              <w:t>disorder (physiological effects)</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7-Sep</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hAnsi="Arial" w:cs="Arial"/>
                <w:color w:val="222222"/>
                <w:sz w:val="20"/>
                <w:szCs w:val="20"/>
                <w:shd w:val="clear" w:color="auto" w:fill="FFFFFF"/>
              </w:rPr>
              <w:t>Fletcher, P. C., &amp; Frith, C. D. (2009). Perceiving is believing: a Bayesian approach to explaining the positive symptoms of schizophrenia. </w:t>
            </w:r>
            <w:r>
              <w:rPr>
                <w:rFonts w:ascii="Arial" w:hAnsi="Arial" w:cs="Arial"/>
                <w:i/>
                <w:iCs/>
                <w:color w:val="222222"/>
                <w:sz w:val="20"/>
                <w:szCs w:val="20"/>
                <w:shd w:val="clear" w:color="auto" w:fill="FFFFFF"/>
              </w:rPr>
              <w:t>Nature Reviews Neuroscience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48.</w:t>
            </w:r>
            <w:r>
              <w:rPr>
                <w:rFonts w:ascii="Arial" w:eastAsia="Arial" w:hAnsi="Arial" w:cs="Arial"/>
                <w:color w:val="222222"/>
                <w:sz w:val="20"/>
                <w:shd w:val="clear" w:color="auto" w:fill="FFFFFF"/>
              </w:rPr>
              <w:t xml:space="preserve"> </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222222"/>
                <w:sz w:val="20"/>
                <w:shd w:val="clear" w:color="auto" w:fill="FFFFFF"/>
              </w:rPr>
              <w:lastRenderedPageBreak/>
              <w:t>McGuire, P. K., David, A. S., Murray, R. M., Frackowiak, R. S. J., Frith, C. D., Wright, I., &amp; Silbersweig, D. A. (1995). Abnormal monitoring of inner speech: a physiological basis for auditory hallucinations. </w:t>
            </w:r>
            <w:r>
              <w:rPr>
                <w:rFonts w:ascii="Arial" w:eastAsia="Arial" w:hAnsi="Arial" w:cs="Arial"/>
                <w:i/>
                <w:color w:val="222222"/>
                <w:sz w:val="20"/>
                <w:shd w:val="clear" w:color="auto" w:fill="FFFFFF"/>
              </w:rPr>
              <w:t>The Lancet</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346</w:t>
            </w:r>
            <w:r>
              <w:rPr>
                <w:rFonts w:ascii="Arial" w:eastAsia="Arial" w:hAnsi="Arial" w:cs="Arial"/>
                <w:color w:val="222222"/>
                <w:sz w:val="20"/>
                <w:shd w:val="clear" w:color="auto" w:fill="FFFFFF"/>
              </w:rPr>
              <w:t>(8975), 596-600.</w:t>
            </w: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lastRenderedPageBreak/>
              <w:t>Hallucinations and schizophrenia</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Teunisse, R. J., Zitman, F. G., Cruysberg, J. R. M., Hoefnagels, W. H. L., &amp; Verbeek, A. L. M. (1996). Visual hallucinations in psychologically normal people: Charles Bonnet's syndrome. </w:t>
            </w:r>
            <w:r>
              <w:rPr>
                <w:rFonts w:ascii="Arial" w:eastAsia="Arial" w:hAnsi="Arial" w:cs="Arial"/>
                <w:i/>
                <w:color w:val="222222"/>
                <w:sz w:val="20"/>
                <w:shd w:val="clear" w:color="auto" w:fill="FFFFFF"/>
              </w:rPr>
              <w:t>The Lancet</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347</w:t>
            </w:r>
            <w:r>
              <w:rPr>
                <w:rFonts w:ascii="Arial" w:eastAsia="Arial" w:hAnsi="Arial" w:cs="Arial"/>
                <w:color w:val="222222"/>
                <w:sz w:val="20"/>
                <w:shd w:val="clear" w:color="auto" w:fill="FFFFFF"/>
              </w:rPr>
              <w:t>(9004), 794-797.</w:t>
            </w:r>
          </w:p>
          <w:p w:rsidR="00CE0172" w:rsidRPr="00E2594A"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Hermesh, H., Konas, S., Shiloh, R., Reuven, D., Marom, S., Weizman, A., &amp; Gross-Isseroff, R. (2004). Musical hallucinations: prevalence in psychotic and nonpsychotic outpatients. </w:t>
            </w:r>
            <w:r>
              <w:rPr>
                <w:rFonts w:ascii="Arial" w:eastAsia="Arial" w:hAnsi="Arial" w:cs="Arial"/>
                <w:i/>
                <w:color w:val="222222"/>
                <w:sz w:val="20"/>
                <w:shd w:val="clear" w:color="auto" w:fill="FFFFFF"/>
              </w:rPr>
              <w:t>Journal of Clinical Psychiatry</w:t>
            </w:r>
          </w:p>
        </w:tc>
        <w:tc>
          <w:tcPr>
            <w:tcW w:w="2785" w:type="dxa"/>
          </w:tcPr>
          <w:p w:rsidR="00CE0172" w:rsidRPr="00827D8E" w:rsidRDefault="00CE0172" w:rsidP="00CE0172">
            <w:pPr>
              <w:cnfStyle w:val="000000000000" w:firstRow="0" w:lastRow="0" w:firstColumn="0" w:lastColumn="0" w:oddVBand="0" w:evenVBand="0" w:oddHBand="0" w:evenHBand="0" w:firstRowFirstColumn="0" w:firstRowLastColumn="0" w:lastRowFirstColumn="0" w:lastRowLastColumn="0"/>
            </w:pPr>
            <w:r w:rsidRPr="00827D8E">
              <w:t>Hallucinations and Charles Bonnet Syndrome</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14-Sep</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Holmes, E. A., Brown, R. J., Mansell, W., Fearon, R. P., Hunter, E. C., Frasquilho, F., &amp; Oakley, D. A. (2005). Are there two qualitatively distinct forms of dissociation? A review and some clinical implications.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Clinical psychology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(1), 1-23.</w:t>
            </w:r>
          </w:p>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Macleod, A. D. (1999). Posttraumatic stress disorder, dissociative fugue and a locator beacon.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Australian and New Zealand journal of psychiatry</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(1), 102-104.</w:t>
            </w:r>
          </w:p>
          <w:p w:rsidR="00CE0172" w:rsidRPr="00E2594A"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222222"/>
                <w:sz w:val="20"/>
                <w:shd w:val="clear" w:color="auto" w:fill="FFFFFF"/>
              </w:rPr>
            </w:pP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t>Mystery:</w:t>
            </w:r>
          </w:p>
          <w:p w:rsidR="00CE0172" w:rsidRPr="00827D8E" w:rsidRDefault="00CE0172" w:rsidP="00CE0172">
            <w:pPr>
              <w:cnfStyle w:val="000000100000" w:firstRow="0" w:lastRow="0" w:firstColumn="0" w:lastColumn="0" w:oddVBand="0" w:evenVBand="0" w:oddHBand="1" w:evenHBand="0" w:firstRowFirstColumn="0" w:firstRowLastColumn="0" w:lastRowFirstColumn="0" w:lastRowLastColumn="0"/>
            </w:pPr>
            <w:r>
              <w:t>Dissociative Fugue</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7841C9">
            <w:pPr>
              <w:spacing w:after="0" w:line="240" w:lineRule="auto"/>
              <w:jc w:val="right"/>
              <w:rPr>
                <w:rFonts w:ascii="Calibri" w:hAnsi="Calibri" w:cs="Calibri"/>
                <w:color w:val="000000"/>
              </w:rPr>
            </w:pPr>
          </w:p>
        </w:tc>
        <w:tc>
          <w:tcPr>
            <w:tcW w:w="5040" w:type="dxa"/>
          </w:tcPr>
          <w:p w:rsidR="00CE0172" w:rsidRDefault="00CE0172" w:rsidP="00CE01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Berlucchi, G., &amp; Aglioti, S. M. (2010). The body in the brain revisited. </w:t>
            </w:r>
            <w:r>
              <w:rPr>
                <w:rFonts w:ascii="Calibri" w:eastAsia="Calibri" w:hAnsi="Calibri" w:cs="Calibri"/>
                <w:i/>
              </w:rPr>
              <w:t>Experimental brain research</w:t>
            </w:r>
            <w:r>
              <w:rPr>
                <w:rFonts w:ascii="Calibri" w:eastAsia="Calibri" w:hAnsi="Calibri" w:cs="Calibri"/>
              </w:rPr>
              <w:t xml:space="preserve">, </w:t>
            </w:r>
            <w:r>
              <w:rPr>
                <w:rFonts w:ascii="Calibri" w:eastAsia="Calibri" w:hAnsi="Calibri" w:cs="Calibri"/>
                <w:i/>
              </w:rPr>
              <w:t>200</w:t>
            </w:r>
            <w:r>
              <w:rPr>
                <w:rFonts w:ascii="Calibri" w:eastAsia="Calibri" w:hAnsi="Calibri" w:cs="Calibri"/>
              </w:rPr>
              <w:t>(1), 25-35.</w:t>
            </w:r>
          </w:p>
          <w:p w:rsidR="00CE0172" w:rsidRDefault="00CE0172" w:rsidP="00CE01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CE0172" w:rsidRDefault="00CE0172" w:rsidP="00CE0172">
            <w:pPr>
              <w:tabs>
                <w:tab w:val="left" w:pos="1080"/>
              </w:tabs>
              <w:cnfStyle w:val="000000000000" w:firstRow="0" w:lastRow="0" w:firstColumn="0" w:lastColumn="0" w:oddVBand="0" w:evenVBand="0" w:oddHBand="0" w:evenHBand="0" w:firstRowFirstColumn="0" w:firstRowLastColumn="0" w:lastRowFirstColumn="0" w:lastRowLastColumn="0"/>
            </w:pPr>
            <w:r>
              <w:rPr>
                <w:rFonts w:ascii="Arial" w:hAnsi="Arial" w:cs="Arial"/>
                <w:color w:val="222222"/>
                <w:sz w:val="20"/>
                <w:szCs w:val="20"/>
                <w:shd w:val="clear" w:color="auto" w:fill="FFFFFF"/>
              </w:rPr>
              <w:t>Sellers, J. (2017). Out-of-Body Experience: Review &amp; a Case Study. </w:t>
            </w:r>
            <w:r>
              <w:rPr>
                <w:rFonts w:ascii="Arial" w:hAnsi="Arial" w:cs="Arial"/>
                <w:i/>
                <w:iCs/>
                <w:color w:val="222222"/>
                <w:sz w:val="20"/>
                <w:szCs w:val="20"/>
                <w:shd w:val="clear" w:color="auto" w:fill="FFFFFF"/>
              </w:rPr>
              <w:t>Journal of Consciousness Exploration &amp;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(9).</w:t>
            </w:r>
            <w:r>
              <w:t xml:space="preserve"> </w:t>
            </w:r>
          </w:p>
        </w:tc>
        <w:tc>
          <w:tcPr>
            <w:tcW w:w="2785" w:type="dxa"/>
          </w:tcPr>
          <w:p w:rsidR="00CE0172" w:rsidRPr="00E2594A" w:rsidRDefault="00CE0172" w:rsidP="00CE0172">
            <w:pPr>
              <w:cnfStyle w:val="000000000000" w:firstRow="0" w:lastRow="0" w:firstColumn="0" w:lastColumn="0" w:oddVBand="0" w:evenVBand="0" w:oddHBand="0" w:evenHBand="0" w:firstRowFirstColumn="0" w:firstRowLastColumn="0" w:lastRowFirstColumn="0" w:lastRowLastColumn="0"/>
            </w:pPr>
            <w:r w:rsidRPr="00E2594A">
              <w:t xml:space="preserve">Out of body experiences </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21-Sep</w:t>
            </w:r>
          </w:p>
          <w:p w:rsidR="00CE0172" w:rsidRDefault="00CE0172" w:rsidP="00CE0172">
            <w:pPr>
              <w:jc w:val="right"/>
              <w:rPr>
                <w:rFonts w:ascii="Calibri" w:hAnsi="Calibri" w:cs="Calibri"/>
                <w:color w:val="000000"/>
              </w:rPr>
            </w:pPr>
          </w:p>
        </w:tc>
        <w:tc>
          <w:tcPr>
            <w:tcW w:w="5040" w:type="dxa"/>
          </w:tcPr>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Banissy, M. J., Kadosh, R. C., Maus, G. W., Walsh, V., &amp; Ward, J. (2009). Prevalence, characteristics and a neurocognitive model of mirror-touch synaesthesia. </w:t>
            </w:r>
            <w:r>
              <w:rPr>
                <w:rFonts w:ascii="Calibri" w:eastAsia="Calibri" w:hAnsi="Calibri" w:cs="Calibri"/>
                <w:i/>
              </w:rPr>
              <w:t>Experimental Brain Research</w:t>
            </w:r>
            <w:r>
              <w:rPr>
                <w:rFonts w:ascii="Calibri" w:eastAsia="Calibri" w:hAnsi="Calibri" w:cs="Calibri"/>
              </w:rPr>
              <w:t xml:space="preserve">, </w:t>
            </w:r>
            <w:r>
              <w:rPr>
                <w:rFonts w:ascii="Calibri" w:eastAsia="Calibri" w:hAnsi="Calibri" w:cs="Calibri"/>
                <w:i/>
              </w:rPr>
              <w:t>198</w:t>
            </w:r>
            <w:r>
              <w:rPr>
                <w:rFonts w:ascii="Calibri" w:eastAsia="Calibri" w:hAnsi="Calibri" w:cs="Calibri"/>
              </w:rPr>
              <w:t>(2-3), 261-272.</w:t>
            </w:r>
          </w:p>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Fitzgibbon, B. M., Giummarra, M. J., Georgiou-Karistianis, N., Enticott, P. G., &amp; Bradshaw, J. L. (2010). Shared pain: from empathy to synaesthesia. </w:t>
            </w:r>
            <w:r>
              <w:rPr>
                <w:rFonts w:ascii="Calibri" w:eastAsia="Calibri" w:hAnsi="Calibri" w:cs="Calibri"/>
                <w:i/>
              </w:rPr>
              <w:t>Neuroscience &amp; Biobehavioral Reviews</w:t>
            </w:r>
            <w:r>
              <w:rPr>
                <w:rFonts w:ascii="Calibri" w:eastAsia="Calibri" w:hAnsi="Calibri" w:cs="Calibri"/>
              </w:rPr>
              <w:t xml:space="preserve">, </w:t>
            </w:r>
            <w:r>
              <w:rPr>
                <w:rFonts w:ascii="Calibri" w:eastAsia="Calibri" w:hAnsi="Calibri" w:cs="Calibri"/>
                <w:i/>
              </w:rPr>
              <w:t>34</w:t>
            </w:r>
            <w:r>
              <w:rPr>
                <w:rFonts w:ascii="Calibri" w:eastAsia="Calibri" w:hAnsi="Calibri" w:cs="Calibri"/>
              </w:rPr>
              <w:t>(4), 500-512.</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CE0172" w:rsidRPr="00E2594A" w:rsidRDefault="00CE0172" w:rsidP="00CE017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Synesthesia</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Marshall, W. L., &amp; Kennedy, P. (2003). Sexual sadism in sexual offenders: An elusive diagnosis. Aggression and Violent Behavior, 8(1), 1-22.</w:t>
            </w:r>
          </w:p>
          <w:p w:rsidR="00CE0172" w:rsidRPr="00E2594A" w:rsidRDefault="00CE0172" w:rsidP="00CE01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Kirsch, L. G., &amp; Becker, J. V. (2007). Emotional deficits in psychopathy and sexual sadism: Implications for violent and sadistic behavior. Clinical psychology review, 27(8), 904-922.</w:t>
            </w: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t>Sadism</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28-Sep</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Harenski, C. L., Thornton, D. M., Harenski, K. A., Decety, J., &amp; Kiehl, K. A. (2012). Increased frontotemporal activation during pain observation in sexual sadism: preliminary findings. Archives of general psychiatry, 69(3), 283-292</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Denov, M. S. (2004). The Long-Term Effects of Child Sexual Abuse by Female Perpetrators A Qualitative Study of Male and Female Victims. Journal of Interpersonal Violence, 19(10), 1137-1156.</w:t>
            </w: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t>Physiological and Gender differences in Sadistic behavior</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Bartholomew, R. E., &amp; Wessely, S. (2002). Protean nature of mass sociogenic illness From possessed nuns to chemical and biological terrorism fears. </w:t>
            </w:r>
            <w:r>
              <w:rPr>
                <w:rFonts w:ascii="Arial" w:eastAsia="Arial" w:hAnsi="Arial" w:cs="Arial"/>
                <w:i/>
                <w:color w:val="222222"/>
                <w:sz w:val="20"/>
                <w:shd w:val="clear" w:color="auto" w:fill="FFFFFF"/>
              </w:rPr>
              <w:t>The British Journal of Psychiatry</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180</w:t>
            </w:r>
            <w:r>
              <w:rPr>
                <w:rFonts w:ascii="Arial" w:eastAsia="Arial" w:hAnsi="Arial" w:cs="Arial"/>
                <w:color w:val="222222"/>
                <w:sz w:val="20"/>
                <w:shd w:val="clear" w:color="auto" w:fill="FFFFFF"/>
              </w:rPr>
              <w:t>(4), 300-306.</w:t>
            </w:r>
          </w:p>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Palmer, I. (2004). The psychological dimension of chemical, biological, radiological and nuclear (CBRN) terrorism. </w:t>
            </w:r>
            <w:r>
              <w:rPr>
                <w:rFonts w:ascii="Arial" w:eastAsia="Arial" w:hAnsi="Arial" w:cs="Arial"/>
                <w:i/>
                <w:color w:val="222222"/>
                <w:sz w:val="20"/>
                <w:shd w:val="clear" w:color="auto" w:fill="FFFFFF"/>
              </w:rPr>
              <w:t>Journal of the Royal Army Medical Corps</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150</w:t>
            </w:r>
            <w:r>
              <w:rPr>
                <w:rFonts w:ascii="Arial" w:eastAsia="Arial" w:hAnsi="Arial" w:cs="Arial"/>
                <w:color w:val="222222"/>
                <w:sz w:val="20"/>
                <w:shd w:val="clear" w:color="auto" w:fill="FFFFFF"/>
              </w:rPr>
              <w:t>(1), 3-9.</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t>Mass sociogenic illnesses (Mass Hysteria)</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5-Oct</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Loharikar, A., Suragh, T. A., MacDonald, N. E., Balakrishnan, M. R., Benes, O., Lamprianou, S., ... &amp; McNeil, M. M. (2018). Anxiety-related adverse events following immunization (AEFI): a systematic review of published clusters of illness. </w:t>
            </w:r>
            <w:r>
              <w:rPr>
                <w:rFonts w:ascii="Arial" w:hAnsi="Arial" w:cs="Arial"/>
                <w:i/>
                <w:iCs/>
                <w:color w:val="222222"/>
                <w:sz w:val="20"/>
                <w:szCs w:val="20"/>
                <w:shd w:val="clear" w:color="auto" w:fill="FFFFFF"/>
              </w:rPr>
              <w:t>Vaccine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(2), 299-305.</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222222"/>
                <w:sz w:val="20"/>
                <w:shd w:val="clear" w:color="auto" w:fill="FFFFFF"/>
              </w:rPr>
              <w:t>Lee, Y. T., &amp; Tsai, S. J. (2010). The mirror neuron system may play a role in the pathogenesis of mass hysteria. </w:t>
            </w:r>
            <w:r>
              <w:rPr>
                <w:rFonts w:ascii="Arial" w:eastAsia="Arial" w:hAnsi="Arial" w:cs="Arial"/>
                <w:i/>
                <w:color w:val="222222"/>
                <w:sz w:val="20"/>
                <w:shd w:val="clear" w:color="auto" w:fill="FFFFFF"/>
              </w:rPr>
              <w:t>Medical hypotheses</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74</w:t>
            </w:r>
            <w:r>
              <w:rPr>
                <w:rFonts w:ascii="Arial" w:eastAsia="Arial" w:hAnsi="Arial" w:cs="Arial"/>
                <w:color w:val="222222"/>
                <w:sz w:val="20"/>
                <w:shd w:val="clear" w:color="auto" w:fill="FFFFFF"/>
              </w:rPr>
              <w:t>(2), 244-245.</w:t>
            </w:r>
          </w:p>
        </w:tc>
        <w:tc>
          <w:tcPr>
            <w:tcW w:w="2785" w:type="dxa"/>
          </w:tcPr>
          <w:p w:rsidR="00CE0172" w:rsidRPr="00B720D1" w:rsidRDefault="00CE0172" w:rsidP="00CE0172">
            <w:pPr>
              <w:cnfStyle w:val="000000100000" w:firstRow="0" w:lastRow="0" w:firstColumn="0" w:lastColumn="0" w:oddVBand="0" w:evenVBand="0" w:oddHBand="1" w:evenHBand="0" w:firstRowFirstColumn="0" w:firstRowLastColumn="0" w:lastRowFirstColumn="0" w:lastRowLastColumn="0"/>
              <w:rPr>
                <w:b/>
              </w:rPr>
            </w:pPr>
            <w:r>
              <w:t>Mass sociogenic illnesses (Mass Hysteria)</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CE0172" w:rsidRPr="00B720D1" w:rsidRDefault="00CE0172" w:rsidP="00CE0172">
            <w:pPr>
              <w:cnfStyle w:val="000000000000" w:firstRow="0" w:lastRow="0" w:firstColumn="0" w:lastColumn="0" w:oddVBand="0" w:evenVBand="0" w:oddHBand="0" w:evenHBand="0" w:firstRowFirstColumn="0" w:firstRowLastColumn="0" w:lastRowFirstColumn="0" w:lastRowLastColumn="0"/>
              <w:rPr>
                <w:b/>
              </w:rPr>
            </w:pPr>
            <w:r>
              <w:rPr>
                <w:b/>
              </w:rPr>
              <w:t>Class’s choice</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12-Oct</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CE0172" w:rsidRDefault="00A739AF" w:rsidP="00CE0172">
            <w:pPr>
              <w:cnfStyle w:val="000000100000" w:firstRow="0" w:lastRow="0" w:firstColumn="0" w:lastColumn="0" w:oddVBand="0" w:evenVBand="0" w:oddHBand="1" w:evenHBand="0" w:firstRowFirstColumn="0" w:firstRowLastColumn="0" w:lastRowFirstColumn="0" w:lastRowLastColumn="0"/>
            </w:pPr>
            <w:r>
              <w:t>Class’s choice</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CE0172" w:rsidRPr="00B720D1" w:rsidRDefault="00CE0172" w:rsidP="00CE0172">
            <w:pPr>
              <w:cnfStyle w:val="000000000000" w:firstRow="0" w:lastRow="0" w:firstColumn="0" w:lastColumn="0" w:oddVBand="0" w:evenVBand="0" w:oddHBand="0" w:evenHBand="0" w:firstRowFirstColumn="0" w:firstRowLastColumn="0" w:lastRowFirstColumn="0" w:lastRowLastColumn="0"/>
              <w:rPr>
                <w:b/>
              </w:rPr>
            </w:pPr>
            <w:r>
              <w:t>Class’s choice</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19-Oct</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Mullen, P. E., Pathçº, M., Purcell, R., &amp; Stuart, G. W. (2014). Study of stalkers.</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r>
              <w:rPr>
                <w:rFonts w:ascii="Arial" w:hAnsi="Arial" w:cs="Arial"/>
                <w:color w:val="222222"/>
                <w:sz w:val="20"/>
                <w:szCs w:val="20"/>
                <w:shd w:val="clear" w:color="auto" w:fill="FFFFFF"/>
              </w:rPr>
              <w:t>Duntley, J. D., &amp; Buss, D. M. (2012). The evolution of stalking. </w:t>
            </w:r>
            <w:r>
              <w:rPr>
                <w:rFonts w:ascii="Arial" w:hAnsi="Arial" w:cs="Arial"/>
                <w:i/>
                <w:iCs/>
                <w:color w:val="222222"/>
                <w:sz w:val="20"/>
                <w:szCs w:val="20"/>
                <w:shd w:val="clear" w:color="auto" w:fill="FFFFFF"/>
              </w:rPr>
              <w:t>Sex roles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(5-6), 311-327.</w:t>
            </w: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t>Stalking</w:t>
            </w:r>
          </w:p>
          <w:p w:rsidR="00CE0172" w:rsidRDefault="00CE0172" w:rsidP="00A739AF">
            <w:pPr>
              <w:cnfStyle w:val="000000100000" w:firstRow="0" w:lastRow="0" w:firstColumn="0" w:lastColumn="0" w:oddVBand="0" w:evenVBand="0" w:oddHBand="1" w:evenHBand="0" w:firstRowFirstColumn="0" w:firstRowLastColumn="0" w:lastRowFirstColumn="0" w:lastRowLastColumn="0"/>
            </w:pP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hAnsi="Arial" w:cs="Arial"/>
                <w:color w:val="555555"/>
                <w:sz w:val="20"/>
                <w:szCs w:val="20"/>
                <w:shd w:val="clear" w:color="auto" w:fill="FFFFFF"/>
              </w:rPr>
            </w:pPr>
            <w:r>
              <w:rPr>
                <w:rFonts w:ascii="Arial" w:hAnsi="Arial" w:cs="Arial"/>
                <w:color w:val="555555"/>
                <w:sz w:val="20"/>
                <w:szCs w:val="20"/>
                <w:shd w:val="clear" w:color="auto" w:fill="FFFFFF"/>
              </w:rPr>
              <w:t>Sheridan, L. P. Is cyberstalking different?. </w:t>
            </w:r>
            <w:r>
              <w:rPr>
                <w:rFonts w:ascii="Arial" w:hAnsi="Arial" w:cs="Arial"/>
                <w:b/>
                <w:bCs/>
                <w:i/>
                <w:iCs/>
                <w:color w:val="555555"/>
                <w:sz w:val="20"/>
                <w:szCs w:val="20"/>
                <w:shd w:val="clear" w:color="auto" w:fill="FFFFFF"/>
              </w:rPr>
              <w:t>Psychology, crime &amp; law</w:t>
            </w:r>
            <w:r>
              <w:rPr>
                <w:rFonts w:ascii="Arial" w:hAnsi="Arial" w:cs="Arial"/>
                <w:color w:val="555555"/>
                <w:sz w:val="20"/>
                <w:szCs w:val="20"/>
                <w:shd w:val="clear" w:color="auto" w:fill="FFFFFF"/>
              </w:rPr>
              <w:t>.</w:t>
            </w:r>
            <w:r>
              <w:rPr>
                <w:rStyle w:val="apple-converted-space"/>
                <w:rFonts w:ascii="Arial" w:hAnsi="Arial" w:cs="Arial"/>
                <w:color w:val="555555"/>
                <w:sz w:val="20"/>
                <w:szCs w:val="20"/>
                <w:shd w:val="clear" w:color="auto" w:fill="FFFFFF"/>
              </w:rPr>
              <w:t> </w:t>
            </w:r>
            <w:r>
              <w:rPr>
                <w:rFonts w:ascii="Arial" w:hAnsi="Arial" w:cs="Arial"/>
                <w:color w:val="555555"/>
                <w:sz w:val="20"/>
                <w:szCs w:val="20"/>
                <w:shd w:val="clear" w:color="auto" w:fill="FFFFFF"/>
              </w:rPr>
              <w:t>(12/2007) ,</w:t>
            </w:r>
            <w:r>
              <w:rPr>
                <w:rStyle w:val="apple-converted-space"/>
                <w:rFonts w:ascii="Arial" w:hAnsi="Arial" w:cs="Arial"/>
                <w:color w:val="555555"/>
                <w:sz w:val="20"/>
                <w:szCs w:val="20"/>
                <w:shd w:val="clear" w:color="auto" w:fill="FFFFFF"/>
              </w:rPr>
              <w:t> </w:t>
            </w:r>
            <w:r>
              <w:rPr>
                <w:rFonts w:ascii="Arial" w:hAnsi="Arial" w:cs="Arial"/>
                <w:color w:val="555555"/>
                <w:sz w:val="20"/>
                <w:szCs w:val="20"/>
                <w:shd w:val="clear" w:color="auto" w:fill="FFFFFF"/>
              </w:rPr>
              <w:t> 13 (6), p. 627 - 640.</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r>
              <w:rPr>
                <w:rFonts w:ascii="Arial" w:hAnsi="Arial" w:cs="Arial"/>
                <w:color w:val="222222"/>
                <w:sz w:val="20"/>
                <w:szCs w:val="20"/>
                <w:shd w:val="clear" w:color="auto" w:fill="FFFFFF"/>
              </w:rPr>
              <w:t>Nijdam-Jones, A., Rosenfeld, B., Gerbrandij, J., Quick, E., &amp; Galietta, M. (2018). Psychopathology of stalking offenders: examining the clinical, demographic, and stalking characteristics of a community-based sample. </w:t>
            </w:r>
            <w:r>
              <w:rPr>
                <w:rFonts w:ascii="Arial" w:hAnsi="Arial" w:cs="Arial"/>
                <w:i/>
                <w:iCs/>
                <w:color w:val="222222"/>
                <w:sz w:val="20"/>
                <w:szCs w:val="20"/>
                <w:shd w:val="clear" w:color="auto" w:fill="FFFFFF"/>
              </w:rPr>
              <w:t>Criminal Justice and Behavior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(5), 712-731.</w:t>
            </w: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t>Stalking continued</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26-Oct</w:t>
            </w:r>
          </w:p>
          <w:p w:rsidR="00CE0172" w:rsidRDefault="00CE0172" w:rsidP="00CE0172">
            <w:pPr>
              <w:jc w:val="right"/>
              <w:rPr>
                <w:rFonts w:ascii="Calibri" w:hAnsi="Calibri" w:cs="Calibri"/>
                <w:color w:val="000000"/>
              </w:rPr>
            </w:pPr>
          </w:p>
        </w:tc>
        <w:tc>
          <w:tcPr>
            <w:tcW w:w="5040" w:type="dxa"/>
          </w:tcPr>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 xml:space="preserve">Gibson, K., Morgan, M., Woolley, C., &amp; Powis, T. (2011). Life after Centrepoint: Accounts of adult adjustment after childhood spent at an experimental community. </w:t>
            </w:r>
            <w:r>
              <w:rPr>
                <w:rFonts w:ascii="Times New Roman" w:eastAsia="Times New Roman" w:hAnsi="Times New Roman" w:cs="Times New Roman"/>
                <w:i/>
                <w:sz w:val="24"/>
              </w:rPr>
              <w:t>New Zealand Journal of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40</w:t>
            </w:r>
            <w:r>
              <w:rPr>
                <w:rFonts w:ascii="Times New Roman" w:eastAsia="Times New Roman" w:hAnsi="Times New Roman" w:cs="Times New Roman"/>
                <w:sz w:val="24"/>
              </w:rPr>
              <w:t>(3), 42.</w:t>
            </w:r>
          </w:p>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Whitsett, D., &amp; Kent, S. A. (2003). Cults and families. </w:t>
            </w:r>
            <w:r>
              <w:rPr>
                <w:rFonts w:ascii="Calibri" w:eastAsia="Calibri" w:hAnsi="Calibri" w:cs="Calibri"/>
                <w:i/>
              </w:rPr>
              <w:t>Families in Society: The Journal of Contemporary Social Services</w:t>
            </w:r>
            <w:r>
              <w:rPr>
                <w:rFonts w:ascii="Calibri" w:eastAsia="Calibri" w:hAnsi="Calibri" w:cs="Calibri"/>
              </w:rPr>
              <w:t xml:space="preserve">, </w:t>
            </w:r>
            <w:r>
              <w:rPr>
                <w:rFonts w:ascii="Calibri" w:eastAsia="Calibri" w:hAnsi="Calibri" w:cs="Calibri"/>
                <w:i/>
              </w:rPr>
              <w:t>84</w:t>
            </w:r>
            <w:r>
              <w:rPr>
                <w:rFonts w:ascii="Calibri" w:eastAsia="Calibri" w:hAnsi="Calibri" w:cs="Calibri"/>
              </w:rPr>
              <w:t>(4), 491-502.</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rPr>
                <w:b/>
              </w:rPr>
              <w:t>Cults</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 xml:space="preserve">Aronoff, J., Lynn, S. J., &amp; Malinoski, P. (2000). Are cultic environments psychologically harmful?. </w:t>
            </w:r>
            <w:r>
              <w:rPr>
                <w:rFonts w:ascii="Times New Roman" w:eastAsia="Times New Roman" w:hAnsi="Times New Roman" w:cs="Times New Roman"/>
                <w:i/>
                <w:sz w:val="24"/>
              </w:rPr>
              <w:t>Clinical Psychology Review</w:t>
            </w:r>
            <w:r>
              <w:rPr>
                <w:rFonts w:ascii="Times New Roman" w:eastAsia="Times New Roman" w:hAnsi="Times New Roman" w:cs="Times New Roman"/>
                <w:sz w:val="24"/>
              </w:rPr>
              <w:t xml:space="preserve">, </w:t>
            </w:r>
            <w:r>
              <w:rPr>
                <w:rFonts w:ascii="Times New Roman" w:eastAsia="Times New Roman" w:hAnsi="Times New Roman" w:cs="Times New Roman"/>
                <w:i/>
                <w:sz w:val="24"/>
              </w:rPr>
              <w:t>20</w:t>
            </w:r>
            <w:r>
              <w:rPr>
                <w:rFonts w:ascii="Times New Roman" w:eastAsia="Times New Roman" w:hAnsi="Times New Roman" w:cs="Times New Roman"/>
                <w:sz w:val="24"/>
              </w:rPr>
              <w:t>(1), 91-111.</w:t>
            </w:r>
          </w:p>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Arial" w:hAnsi="Arial" w:cs="Arial"/>
                <w:color w:val="222222"/>
                <w:sz w:val="20"/>
                <w:szCs w:val="20"/>
                <w:shd w:val="clear" w:color="auto" w:fill="FFFFFF"/>
              </w:rPr>
              <w:t>Day, S., &amp; Peters, E. (1999). The incidence of schizotypy in new religious movements.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Personality and Individual Differences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(1), 55-67.</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t>Cults Continued</w:t>
            </w:r>
          </w:p>
          <w:p w:rsidR="00CE0172" w:rsidRDefault="00A739AF" w:rsidP="00CE0172">
            <w:pPr>
              <w:cnfStyle w:val="000000000000" w:firstRow="0" w:lastRow="0" w:firstColumn="0" w:lastColumn="0" w:oddVBand="0" w:evenVBand="0" w:oddHBand="0" w:evenHBand="0" w:firstRowFirstColumn="0" w:firstRowLastColumn="0" w:lastRowFirstColumn="0" w:lastRowLastColumn="0"/>
            </w:pPr>
            <w:r>
              <w:t>Midterm Exams due by end of the week</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2-Nov</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Shin, L. M., &amp; Liberzon, I. (2010). The neurocircuitry of fear, stress, and anxiety disorders. </w:t>
            </w:r>
            <w:r>
              <w:rPr>
                <w:rFonts w:ascii="Arial" w:eastAsia="Arial" w:hAnsi="Arial" w:cs="Arial"/>
                <w:i/>
                <w:color w:val="222222"/>
                <w:sz w:val="20"/>
                <w:shd w:val="clear" w:color="auto" w:fill="FFFFFF"/>
              </w:rPr>
              <w:t>Neuropsychopharmacology</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35</w:t>
            </w:r>
            <w:r>
              <w:rPr>
                <w:rFonts w:ascii="Arial" w:eastAsia="Arial" w:hAnsi="Arial" w:cs="Arial"/>
                <w:color w:val="222222"/>
                <w:sz w:val="20"/>
                <w:shd w:val="clear" w:color="auto" w:fill="FFFFFF"/>
              </w:rPr>
              <w:t>(1), 169-191.</w:t>
            </w:r>
          </w:p>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lastRenderedPageBreak/>
              <w:t>Hofmann, S. G., Ellard, K. K., &amp; Siegle, G. J. (2012). Neurobiological correlates of cognitions in fear and anxiety: a cognitive–neurobiological information-processing model. </w:t>
            </w:r>
            <w:r>
              <w:rPr>
                <w:rFonts w:ascii="Arial" w:eastAsia="Arial" w:hAnsi="Arial" w:cs="Arial"/>
                <w:i/>
                <w:color w:val="222222"/>
                <w:sz w:val="20"/>
                <w:shd w:val="clear" w:color="auto" w:fill="FFFFFF"/>
              </w:rPr>
              <w:t>Cognition &amp; emotion</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26</w:t>
            </w:r>
            <w:r>
              <w:rPr>
                <w:rFonts w:ascii="Arial" w:eastAsia="Arial" w:hAnsi="Arial" w:cs="Arial"/>
                <w:color w:val="222222"/>
                <w:sz w:val="20"/>
                <w:shd w:val="clear" w:color="auto" w:fill="FFFFFF"/>
              </w:rPr>
              <w:t>(2), 282-299.</w:t>
            </w:r>
          </w:p>
          <w:p w:rsidR="00CE0172" w:rsidRDefault="00CE0172" w:rsidP="00CE0172">
            <w:pPr>
              <w:jc w:val="center"/>
              <w:cnfStyle w:val="000000100000" w:firstRow="0" w:lastRow="0" w:firstColumn="0" w:lastColumn="0" w:oddVBand="0" w:evenVBand="0" w:oddHBand="1" w:evenHBand="0" w:firstRowFirstColumn="0" w:firstRowLastColumn="0" w:lastRowFirstColumn="0" w:lastRowLastColumn="0"/>
            </w:pP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b/>
              </w:rPr>
            </w:pPr>
            <w:r>
              <w:rPr>
                <w:b/>
              </w:rPr>
              <w:lastRenderedPageBreak/>
              <w:t>Fear</w:t>
            </w:r>
          </w:p>
          <w:p w:rsidR="00CE0172" w:rsidRPr="00B720D1" w:rsidRDefault="00CE0172" w:rsidP="00CE0172">
            <w:pPr>
              <w:cnfStyle w:val="000000100000" w:firstRow="0" w:lastRow="0" w:firstColumn="0" w:lastColumn="0" w:oddVBand="0" w:evenVBand="0" w:oddHBand="1" w:evenHBand="0" w:firstRowFirstColumn="0" w:firstRowLastColumn="0" w:lastRowFirstColumn="0" w:lastRowLastColumn="0"/>
              <w:rPr>
                <w:b/>
              </w:rPr>
            </w:pP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Silverman, W. K., Ortiz, C. D., Viswesvaran, C., Burns, B. J., Kolko, D. J., Putnam, F. W., &amp; Amaya-Jackson, L. (2008). Evidence-based psychosocial treatments for children and adolescents exposed to traumatic events. </w:t>
            </w:r>
            <w:r>
              <w:rPr>
                <w:rFonts w:ascii="Arial" w:eastAsia="Arial" w:hAnsi="Arial" w:cs="Arial"/>
                <w:i/>
                <w:color w:val="222222"/>
                <w:sz w:val="20"/>
                <w:shd w:val="clear" w:color="auto" w:fill="FFFFFF"/>
              </w:rPr>
              <w:t>Journal of Clinical Child &amp; Adolescent Psychology</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37</w:t>
            </w:r>
            <w:r>
              <w:rPr>
                <w:rFonts w:ascii="Arial" w:eastAsia="Arial" w:hAnsi="Arial" w:cs="Arial"/>
                <w:color w:val="222222"/>
                <w:sz w:val="20"/>
                <w:shd w:val="clear" w:color="auto" w:fill="FFFFFF"/>
              </w:rPr>
              <w:t>(1), 156-183.</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222222"/>
                <w:sz w:val="20"/>
                <w:shd w:val="clear" w:color="auto" w:fill="FFFFFF"/>
              </w:rPr>
              <w:t>Hofmann, S. G., Heering, S., Sawyer, A. T., &amp; Asnaani, A. (2009). How to handle anxiety: The effects of reappraisal, acceptance, and suppression strategies on anxious arousal. </w:t>
            </w:r>
            <w:r>
              <w:rPr>
                <w:rFonts w:ascii="Arial" w:eastAsia="Arial" w:hAnsi="Arial" w:cs="Arial"/>
                <w:i/>
                <w:color w:val="222222"/>
                <w:sz w:val="20"/>
                <w:shd w:val="clear" w:color="auto" w:fill="FFFFFF"/>
              </w:rPr>
              <w:t>Behaviour research and therapy</w:t>
            </w:r>
            <w:r>
              <w:rPr>
                <w:rFonts w:ascii="Arial" w:eastAsia="Arial" w:hAnsi="Arial" w:cs="Arial"/>
                <w:color w:val="222222"/>
                <w:sz w:val="20"/>
                <w:shd w:val="clear" w:color="auto" w:fill="FFFFFF"/>
              </w:rPr>
              <w:t>, </w:t>
            </w:r>
            <w:r>
              <w:rPr>
                <w:rFonts w:ascii="Arial" w:eastAsia="Arial" w:hAnsi="Arial" w:cs="Arial"/>
                <w:i/>
                <w:color w:val="222222"/>
                <w:sz w:val="20"/>
                <w:shd w:val="clear" w:color="auto" w:fill="FFFFFF"/>
              </w:rPr>
              <w:t>47</w:t>
            </w:r>
            <w:r>
              <w:rPr>
                <w:rFonts w:ascii="Arial" w:eastAsia="Arial" w:hAnsi="Arial" w:cs="Arial"/>
                <w:color w:val="222222"/>
                <w:sz w:val="20"/>
                <w:shd w:val="clear" w:color="auto" w:fill="FFFFFF"/>
              </w:rPr>
              <w:t>(5), 389-394.</w:t>
            </w: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rPr>
                <w:b/>
              </w:rPr>
              <w:t>Fear continued</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9-Nov</w:t>
            </w:r>
          </w:p>
          <w:p w:rsidR="00CE0172" w:rsidRDefault="00CE0172" w:rsidP="00CE0172">
            <w:pPr>
              <w:jc w:val="right"/>
              <w:rPr>
                <w:rFonts w:ascii="Calibri" w:hAnsi="Calibri" w:cs="Calibri"/>
                <w:color w:val="000000"/>
              </w:rPr>
            </w:pPr>
          </w:p>
        </w:tc>
        <w:tc>
          <w:tcPr>
            <w:tcW w:w="5040"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Azzopardi, P., &amp; Cowey, A. (1997). Is blindsight like normal, near-threshold vision?. Proceedings of the National Academy of Sciences, 94(25), 14190-14194.</w:t>
            </w:r>
          </w:p>
          <w:p w:rsidR="00CE0172" w:rsidRDefault="00CE0172" w:rsidP="00CE017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sz w:val="20"/>
                <w:shd w:val="clear" w:color="auto" w:fill="FFFFFF"/>
              </w:rPr>
            </w:pPr>
            <w:r>
              <w:rPr>
                <w:rFonts w:ascii="Arial" w:eastAsia="Arial" w:hAnsi="Arial" w:cs="Arial"/>
                <w:color w:val="222222"/>
                <w:sz w:val="20"/>
                <w:shd w:val="clear" w:color="auto" w:fill="FFFFFF"/>
              </w:rPr>
              <w:t>Trevethan, C. T., Sahraie, A., &amp; Weiskrantz, L. (2007). Can blindsight be superior to ‘sighted-sight’?. Cognition, 103(3), 491-501</w:t>
            </w:r>
          </w:p>
          <w:p w:rsidR="00CE0172" w:rsidRDefault="00CE0172"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t>Mystery: Blindsight</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Pr="00EA77AC" w:rsidRDefault="00E81A68" w:rsidP="00CE0172">
            <w:pPr>
              <w:cnfStyle w:val="000000000000" w:firstRow="0" w:lastRow="0" w:firstColumn="0" w:lastColumn="0" w:oddVBand="0" w:evenVBand="0" w:oddHBand="0" w:evenHBand="0" w:firstRowFirstColumn="0" w:firstRowLastColumn="0" w:lastRowFirstColumn="0" w:lastRowLastColumn="0"/>
            </w:pPr>
            <w:hyperlink r:id="rId7" w:history="1">
              <w:r w:rsidR="00CE0172" w:rsidRPr="00EA77AC">
                <w:rPr>
                  <w:rStyle w:val="Hyperlink"/>
                  <w:rFonts w:ascii="Helvetica" w:hAnsi="Helvetica" w:cs="Helvetica"/>
                  <w:bCs/>
                  <w:color w:val="auto"/>
                  <w:sz w:val="19"/>
                  <w:szCs w:val="19"/>
                  <w:u w:val="none"/>
                  <w:bdr w:val="none" w:sz="0" w:space="0" w:color="auto" w:frame="1"/>
                  <w:shd w:val="clear" w:color="auto" w:fill="FFFFFF"/>
                </w:rPr>
                <w:t>White, J. W., McMullin, D., Swartout, K., Sechrist, S., &amp; Gollehon, A. (2008). Violence in intimate relationships: A conceptual and empirical examination of sexual and physical aggression. Children and Youth Services Review, 30(3), 338-351.</w:t>
              </w:r>
            </w:hyperlink>
          </w:p>
          <w:p w:rsidR="00CE0172" w:rsidRPr="00EA77AC" w:rsidRDefault="00E81A68" w:rsidP="00CE0172">
            <w:pPr>
              <w:cnfStyle w:val="000000000000" w:firstRow="0" w:lastRow="0" w:firstColumn="0" w:lastColumn="0" w:oddVBand="0" w:evenVBand="0" w:oddHBand="0" w:evenHBand="0" w:firstRowFirstColumn="0" w:firstRowLastColumn="0" w:lastRowFirstColumn="0" w:lastRowLastColumn="0"/>
            </w:pPr>
            <w:hyperlink r:id="rId8" w:history="1">
              <w:r w:rsidR="00CE0172" w:rsidRPr="00EA77AC">
                <w:rPr>
                  <w:rStyle w:val="Hyperlink"/>
                  <w:rFonts w:ascii="Helvetica" w:hAnsi="Helvetica" w:cs="Helvetica"/>
                  <w:bCs/>
                  <w:color w:val="auto"/>
                  <w:sz w:val="19"/>
                  <w:szCs w:val="19"/>
                  <w:u w:val="none"/>
                  <w:bdr w:val="none" w:sz="0" w:space="0" w:color="auto" w:frame="1"/>
                  <w:shd w:val="clear" w:color="auto" w:fill="F0F0F0"/>
                </w:rPr>
                <w:t>Testa, M., Hoffman, J. H., &amp; Leonard, K. E. (2011). Female intimate partner violence perpetration: Stability and predictors of mutual and nonmutual aggression across the first year of college. Aggressive behavior, 37(4), 362-37</w:t>
              </w:r>
            </w:hyperlink>
          </w:p>
        </w:tc>
        <w:tc>
          <w:tcPr>
            <w:tcW w:w="2785" w:type="dxa"/>
          </w:tcPr>
          <w:p w:rsidR="00CE0172" w:rsidRPr="00B720D1" w:rsidRDefault="00CE0172" w:rsidP="00CE0172">
            <w:pPr>
              <w:cnfStyle w:val="000000000000" w:firstRow="0" w:lastRow="0" w:firstColumn="0" w:lastColumn="0" w:oddVBand="0" w:evenVBand="0" w:oddHBand="0" w:evenHBand="0" w:firstRowFirstColumn="0" w:firstRowLastColumn="0" w:lastRowFirstColumn="0" w:lastRowLastColumn="0"/>
              <w:rPr>
                <w:b/>
              </w:rPr>
            </w:pPr>
            <w:r>
              <w:t>Violence in Intimate relations</w:t>
            </w:r>
          </w:p>
        </w:tc>
      </w:tr>
      <w:tr w:rsidR="00CE0172"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16-Nov</w:t>
            </w:r>
          </w:p>
          <w:p w:rsidR="00CE0172" w:rsidRDefault="00CE0172" w:rsidP="00CE0172">
            <w:pPr>
              <w:jc w:val="right"/>
              <w:rPr>
                <w:rFonts w:ascii="Calibri" w:hAnsi="Calibri" w:cs="Calibri"/>
                <w:color w:val="000000"/>
              </w:rPr>
            </w:pPr>
          </w:p>
        </w:tc>
        <w:tc>
          <w:tcPr>
            <w:tcW w:w="5040" w:type="dxa"/>
          </w:tcPr>
          <w:p w:rsidR="00CE0172" w:rsidRDefault="00CE0172" w:rsidP="00CE017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785" w:type="dxa"/>
          </w:tcPr>
          <w:p w:rsidR="00CE0172" w:rsidRDefault="00CE0172" w:rsidP="00CE0172">
            <w:pPr>
              <w:cnfStyle w:val="000000100000" w:firstRow="0" w:lastRow="0" w:firstColumn="0" w:lastColumn="0" w:oddVBand="0" w:evenVBand="0" w:oddHBand="1" w:evenHBand="0" w:firstRowFirstColumn="0" w:firstRowLastColumn="0" w:lastRowFirstColumn="0" w:lastRowLastColumn="0"/>
            </w:pPr>
            <w:r>
              <w:t>Class’s Choice</w:t>
            </w:r>
          </w:p>
        </w:tc>
      </w:tr>
      <w:tr w:rsidR="00CE0172"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CE0172" w:rsidRDefault="00CE0172" w:rsidP="00CE0172">
            <w:pPr>
              <w:jc w:val="right"/>
              <w:rPr>
                <w:rFonts w:ascii="Calibri" w:hAnsi="Calibri" w:cs="Calibri"/>
                <w:color w:val="000000"/>
              </w:rPr>
            </w:pPr>
          </w:p>
        </w:tc>
        <w:tc>
          <w:tcPr>
            <w:tcW w:w="5040"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shd w:val="clear" w:color="auto" w:fill="FFFFFF"/>
              </w:rPr>
            </w:pPr>
            <w:r>
              <w:rPr>
                <w:rFonts w:ascii="Arial" w:hAnsi="Arial" w:cs="Arial"/>
                <w:color w:val="222222"/>
                <w:sz w:val="20"/>
                <w:szCs w:val="20"/>
                <w:shd w:val="clear" w:color="auto" w:fill="FFFFFF"/>
              </w:rPr>
              <w:t>Meyersburg, C. A., Bogdan, R., Gallo, D. A., &amp; McNally, R. J. (2009). False memory propensity in people reporting recovered memories of past lives.</w:t>
            </w:r>
            <w:r>
              <w:rPr>
                <w:rFonts w:ascii="Arial" w:hAnsi="Arial" w:cs="Arial"/>
                <w:i/>
                <w:iCs/>
                <w:color w:val="222222"/>
                <w:sz w:val="20"/>
                <w:szCs w:val="20"/>
                <w:shd w:val="clear" w:color="auto" w:fill="FFFFFF"/>
              </w:rPr>
              <w:t>Journal of Abnormal Psychology</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118</w:t>
            </w:r>
            <w:r>
              <w:rPr>
                <w:rFonts w:ascii="Arial" w:hAnsi="Arial" w:cs="Arial"/>
                <w:color w:val="222222"/>
                <w:sz w:val="20"/>
                <w:szCs w:val="20"/>
                <w:shd w:val="clear" w:color="auto" w:fill="FFFFFF"/>
              </w:rPr>
              <w:t>(2), 399.</w:t>
            </w:r>
          </w:p>
          <w:p w:rsidR="00CE0172" w:rsidRDefault="00CE0172" w:rsidP="00CE0172">
            <w:pPr>
              <w:cnfStyle w:val="000000000000" w:firstRow="0" w:lastRow="0" w:firstColumn="0" w:lastColumn="0" w:oddVBand="0" w:evenVBand="0" w:oddHBand="0" w:evenHBand="0" w:firstRowFirstColumn="0" w:firstRowLastColumn="0" w:lastRowFirstColumn="0" w:lastRowLastColumn="0"/>
            </w:pPr>
            <w:r>
              <w:rPr>
                <w:rStyle w:val="apple-converted-space"/>
                <w:rFonts w:ascii="Helvetica" w:hAnsi="Helvetica" w:cs="Helvetica"/>
                <w:color w:val="000000"/>
                <w:sz w:val="19"/>
                <w:szCs w:val="19"/>
                <w:bdr w:val="none" w:sz="0" w:space="0" w:color="auto" w:frame="1"/>
              </w:rPr>
              <w:lastRenderedPageBreak/>
              <w:t> </w:t>
            </w:r>
            <w:r>
              <w:rPr>
                <w:rFonts w:ascii="Arial" w:hAnsi="Arial" w:cs="Arial"/>
                <w:color w:val="222222"/>
                <w:sz w:val="20"/>
                <w:szCs w:val="20"/>
                <w:shd w:val="clear" w:color="auto" w:fill="FFFFFF"/>
              </w:rPr>
              <w:t>Storbeck, J., &amp; Clore, G. L. (2005). With sadness comes accuracy; with happiness, false memory: Mood and the false memory effect. </w:t>
            </w:r>
            <w:r>
              <w:rPr>
                <w:rFonts w:ascii="Arial" w:hAnsi="Arial" w:cs="Arial"/>
                <w:i/>
                <w:iCs/>
                <w:color w:val="222222"/>
                <w:sz w:val="20"/>
                <w:szCs w:val="20"/>
                <w:shd w:val="clear" w:color="auto" w:fill="FFFFFF"/>
              </w:rPr>
              <w:t>Psychological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(10), 785-791.</w:t>
            </w:r>
          </w:p>
        </w:tc>
        <w:tc>
          <w:tcPr>
            <w:tcW w:w="2785" w:type="dxa"/>
          </w:tcPr>
          <w:p w:rsidR="00CE0172" w:rsidRDefault="00CE0172" w:rsidP="00CE0172">
            <w:pPr>
              <w:cnfStyle w:val="000000000000" w:firstRow="0" w:lastRow="0" w:firstColumn="0" w:lastColumn="0" w:oddVBand="0" w:evenVBand="0" w:oddHBand="0" w:evenHBand="0" w:firstRowFirstColumn="0" w:firstRowLastColumn="0" w:lastRowFirstColumn="0" w:lastRowLastColumn="0"/>
            </w:pPr>
            <w:r>
              <w:lastRenderedPageBreak/>
              <w:t xml:space="preserve">False Memories </w:t>
            </w:r>
          </w:p>
        </w:tc>
      </w:tr>
      <w:tr w:rsidR="007841C9"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23-Nov</w:t>
            </w:r>
          </w:p>
          <w:p w:rsidR="007841C9" w:rsidRDefault="007841C9" w:rsidP="00CE0172">
            <w:pPr>
              <w:jc w:val="right"/>
              <w:rPr>
                <w:rFonts w:ascii="Calibri" w:hAnsi="Calibri" w:cs="Calibri"/>
                <w:color w:val="000000"/>
              </w:rPr>
            </w:pPr>
          </w:p>
        </w:tc>
        <w:tc>
          <w:tcPr>
            <w:tcW w:w="5040" w:type="dxa"/>
          </w:tcPr>
          <w:p w:rsidR="007841C9" w:rsidRDefault="007841C9" w:rsidP="00420BF6">
            <w:pPr>
              <w:cnfStyle w:val="000000100000" w:firstRow="0" w:lastRow="0" w:firstColumn="0" w:lastColumn="0" w:oddVBand="0" w:evenVBand="0" w:oddHBand="1" w:evenHBand="0" w:firstRowFirstColumn="0" w:firstRowLastColumn="0" w:lastRowFirstColumn="0" w:lastRowLastColumn="0"/>
            </w:pPr>
            <w:r>
              <w:t>Thanksgiving recess</w:t>
            </w:r>
          </w:p>
        </w:tc>
        <w:tc>
          <w:tcPr>
            <w:tcW w:w="2785" w:type="dxa"/>
          </w:tcPr>
          <w:p w:rsidR="007841C9" w:rsidRDefault="007841C9" w:rsidP="00CE0172">
            <w:pPr>
              <w:cnfStyle w:val="000000100000" w:firstRow="0" w:lastRow="0" w:firstColumn="0" w:lastColumn="0" w:oddVBand="0" w:evenVBand="0" w:oddHBand="1" w:evenHBand="0" w:firstRowFirstColumn="0" w:firstRowLastColumn="0" w:lastRowFirstColumn="0" w:lastRowLastColumn="0"/>
            </w:pPr>
          </w:p>
        </w:tc>
      </w:tr>
      <w:tr w:rsidR="007841C9" w:rsidTr="007841C9">
        <w:tc>
          <w:tcPr>
            <w:cnfStyle w:val="001000000000" w:firstRow="0" w:lastRow="0" w:firstColumn="1" w:lastColumn="0" w:oddVBand="0" w:evenVBand="0" w:oddHBand="0" w:evenHBand="0" w:firstRowFirstColumn="0" w:firstRowLastColumn="0" w:lastRowFirstColumn="0" w:lastRowLastColumn="0"/>
            <w:tcW w:w="1525" w:type="dxa"/>
            <w:vAlign w:val="bottom"/>
          </w:tcPr>
          <w:p w:rsidR="007841C9" w:rsidRDefault="007841C9" w:rsidP="007841C9">
            <w:pPr>
              <w:spacing w:after="0" w:line="240" w:lineRule="auto"/>
              <w:jc w:val="right"/>
              <w:rPr>
                <w:rFonts w:ascii="Calibri" w:hAnsi="Calibri" w:cs="Calibri"/>
                <w:color w:val="000000"/>
                <w:lang w:val="en-US"/>
              </w:rPr>
            </w:pPr>
            <w:r>
              <w:rPr>
                <w:rFonts w:ascii="Calibri" w:hAnsi="Calibri" w:cs="Calibri"/>
                <w:color w:val="000000"/>
              </w:rPr>
              <w:t>30-Nov</w:t>
            </w:r>
          </w:p>
          <w:p w:rsidR="007841C9" w:rsidRDefault="007841C9" w:rsidP="00CE0172">
            <w:pPr>
              <w:jc w:val="right"/>
              <w:rPr>
                <w:rFonts w:ascii="Calibri" w:hAnsi="Calibri" w:cs="Calibri"/>
                <w:color w:val="000000"/>
              </w:rPr>
            </w:pPr>
          </w:p>
        </w:tc>
        <w:tc>
          <w:tcPr>
            <w:tcW w:w="5040" w:type="dxa"/>
          </w:tcPr>
          <w:p w:rsidR="007841C9" w:rsidRDefault="007841C9" w:rsidP="00CE0172">
            <w:pPr>
              <w:cnfStyle w:val="000000000000" w:firstRow="0" w:lastRow="0" w:firstColumn="0" w:lastColumn="0" w:oddVBand="0" w:evenVBand="0" w:oddHBand="0" w:evenHBand="0" w:firstRowFirstColumn="0" w:firstRowLastColumn="0" w:lastRowFirstColumn="0" w:lastRowLastColumn="0"/>
            </w:pPr>
            <w:r>
              <w:t>Paper Due</w:t>
            </w:r>
            <w:r w:rsidR="00A739AF">
              <w:t xml:space="preserve"> December 5</w:t>
            </w:r>
          </w:p>
          <w:p w:rsidR="00A739AF" w:rsidRDefault="00A739AF" w:rsidP="00CE0172">
            <w:pPr>
              <w:cnfStyle w:val="000000000000" w:firstRow="0" w:lastRow="0" w:firstColumn="0" w:lastColumn="0" w:oddVBand="0" w:evenVBand="0" w:oddHBand="0" w:evenHBand="0" w:firstRowFirstColumn="0" w:firstRowLastColumn="0" w:lastRowFirstColumn="0" w:lastRowLastColumn="0"/>
            </w:pPr>
            <w:r>
              <w:t>Final Exam Due December 5</w:t>
            </w:r>
          </w:p>
          <w:p w:rsidR="00A739AF" w:rsidRDefault="00A739AF" w:rsidP="00CE01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sz w:val="20"/>
                <w:shd w:val="clear" w:color="auto" w:fill="FFFFFF"/>
              </w:rPr>
            </w:pPr>
          </w:p>
        </w:tc>
        <w:tc>
          <w:tcPr>
            <w:tcW w:w="2785" w:type="dxa"/>
          </w:tcPr>
          <w:p w:rsidR="007841C9" w:rsidRDefault="007841C9" w:rsidP="00CE0172">
            <w:pPr>
              <w:cnfStyle w:val="000000000000" w:firstRow="0" w:lastRow="0" w:firstColumn="0" w:lastColumn="0" w:oddVBand="0" w:evenVBand="0" w:oddHBand="0" w:evenHBand="0" w:firstRowFirstColumn="0" w:firstRowLastColumn="0" w:lastRowFirstColumn="0" w:lastRowLastColumn="0"/>
            </w:pPr>
          </w:p>
        </w:tc>
      </w:tr>
      <w:tr w:rsidR="007841C9" w:rsidTr="00AE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7841C9" w:rsidRDefault="007841C9" w:rsidP="00CE0172">
            <w:pPr>
              <w:jc w:val="right"/>
              <w:rPr>
                <w:rFonts w:ascii="Calibri" w:hAnsi="Calibri" w:cs="Calibri"/>
                <w:color w:val="000000"/>
              </w:rPr>
            </w:pPr>
          </w:p>
        </w:tc>
        <w:tc>
          <w:tcPr>
            <w:tcW w:w="5040" w:type="dxa"/>
          </w:tcPr>
          <w:p w:rsidR="007841C9" w:rsidRDefault="007841C9"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7841C9" w:rsidRDefault="007841C9" w:rsidP="007841C9">
            <w:pPr>
              <w:cnfStyle w:val="000000100000" w:firstRow="0" w:lastRow="0" w:firstColumn="0" w:lastColumn="0" w:oddVBand="0" w:evenVBand="0" w:oddHBand="1" w:evenHBand="0" w:firstRowFirstColumn="0" w:firstRowLastColumn="0" w:lastRowFirstColumn="0" w:lastRowLastColumn="0"/>
            </w:pPr>
          </w:p>
        </w:tc>
      </w:tr>
      <w:tr w:rsidR="007841C9" w:rsidTr="007841C9">
        <w:tc>
          <w:tcPr>
            <w:cnfStyle w:val="001000000000" w:firstRow="0" w:lastRow="0" w:firstColumn="1" w:lastColumn="0" w:oddVBand="0" w:evenVBand="0" w:oddHBand="0" w:evenHBand="0" w:firstRowFirstColumn="0" w:firstRowLastColumn="0" w:lastRowFirstColumn="0" w:lastRowLastColumn="0"/>
            <w:tcW w:w="1525" w:type="dxa"/>
          </w:tcPr>
          <w:p w:rsidR="007841C9" w:rsidRDefault="007841C9" w:rsidP="00CE0172">
            <w:pPr>
              <w:jc w:val="right"/>
              <w:rPr>
                <w:rFonts w:ascii="Calibri" w:hAnsi="Calibri" w:cs="Calibri"/>
                <w:color w:val="000000"/>
              </w:rPr>
            </w:pPr>
          </w:p>
        </w:tc>
        <w:tc>
          <w:tcPr>
            <w:tcW w:w="5040" w:type="dxa"/>
          </w:tcPr>
          <w:p w:rsidR="007841C9" w:rsidRDefault="007841C9"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7841C9" w:rsidRDefault="007841C9" w:rsidP="00CE0172">
            <w:pPr>
              <w:cnfStyle w:val="000000000000" w:firstRow="0" w:lastRow="0" w:firstColumn="0" w:lastColumn="0" w:oddVBand="0" w:evenVBand="0" w:oddHBand="0" w:evenHBand="0" w:firstRowFirstColumn="0" w:firstRowLastColumn="0" w:lastRowFirstColumn="0" w:lastRowLastColumn="0"/>
            </w:pPr>
          </w:p>
        </w:tc>
      </w:tr>
      <w:tr w:rsidR="007841C9"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7841C9" w:rsidRDefault="007841C9" w:rsidP="00CE0172">
            <w:pPr>
              <w:spacing w:after="0" w:line="240" w:lineRule="auto"/>
              <w:jc w:val="right"/>
              <w:rPr>
                <w:rFonts w:ascii="Calibri" w:hAnsi="Calibri" w:cs="Calibri"/>
                <w:color w:val="000000"/>
                <w:lang w:val="en-US"/>
              </w:rPr>
            </w:pPr>
          </w:p>
        </w:tc>
        <w:tc>
          <w:tcPr>
            <w:tcW w:w="5040" w:type="dxa"/>
          </w:tcPr>
          <w:p w:rsidR="007841C9" w:rsidRDefault="007841C9"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7841C9" w:rsidRPr="0060332D" w:rsidRDefault="007841C9" w:rsidP="00CE0172">
            <w:pPr>
              <w:cnfStyle w:val="000000100000" w:firstRow="0" w:lastRow="0" w:firstColumn="0" w:lastColumn="0" w:oddVBand="0" w:evenVBand="0" w:oddHBand="1" w:evenHBand="0" w:firstRowFirstColumn="0" w:firstRowLastColumn="0" w:lastRowFirstColumn="0" w:lastRowLastColumn="0"/>
              <w:rPr>
                <w:b/>
              </w:rPr>
            </w:pPr>
          </w:p>
        </w:tc>
      </w:tr>
      <w:tr w:rsidR="007841C9" w:rsidTr="007841C9">
        <w:tc>
          <w:tcPr>
            <w:cnfStyle w:val="001000000000" w:firstRow="0" w:lastRow="0" w:firstColumn="1" w:lastColumn="0" w:oddVBand="0" w:evenVBand="0" w:oddHBand="0" w:evenHBand="0" w:firstRowFirstColumn="0" w:firstRowLastColumn="0" w:lastRowFirstColumn="0" w:lastRowLastColumn="0"/>
            <w:tcW w:w="1525" w:type="dxa"/>
          </w:tcPr>
          <w:p w:rsidR="007841C9" w:rsidRDefault="007841C9" w:rsidP="00CE0172"/>
        </w:tc>
        <w:tc>
          <w:tcPr>
            <w:tcW w:w="5040" w:type="dxa"/>
          </w:tcPr>
          <w:p w:rsidR="007841C9" w:rsidRDefault="007841C9" w:rsidP="00CE0172">
            <w:pPr>
              <w:cnfStyle w:val="000000000000" w:firstRow="0" w:lastRow="0" w:firstColumn="0" w:lastColumn="0" w:oddVBand="0" w:evenVBand="0" w:oddHBand="0" w:evenHBand="0" w:firstRowFirstColumn="0" w:firstRowLastColumn="0" w:lastRowFirstColumn="0" w:lastRowLastColumn="0"/>
            </w:pPr>
          </w:p>
        </w:tc>
        <w:tc>
          <w:tcPr>
            <w:tcW w:w="2785" w:type="dxa"/>
          </w:tcPr>
          <w:p w:rsidR="007841C9" w:rsidRPr="000A31F4" w:rsidRDefault="007841C9" w:rsidP="00CE0172">
            <w:pPr>
              <w:cnfStyle w:val="000000000000" w:firstRow="0" w:lastRow="0" w:firstColumn="0" w:lastColumn="0" w:oddVBand="0" w:evenVBand="0" w:oddHBand="0" w:evenHBand="0" w:firstRowFirstColumn="0" w:firstRowLastColumn="0" w:lastRowFirstColumn="0" w:lastRowLastColumn="0"/>
              <w:rPr>
                <w:b/>
              </w:rPr>
            </w:pPr>
          </w:p>
        </w:tc>
      </w:tr>
      <w:tr w:rsidR="007841C9" w:rsidTr="0078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7841C9" w:rsidRDefault="007841C9" w:rsidP="00CE0172"/>
        </w:tc>
        <w:tc>
          <w:tcPr>
            <w:tcW w:w="5040" w:type="dxa"/>
          </w:tcPr>
          <w:p w:rsidR="007841C9" w:rsidRDefault="007841C9" w:rsidP="00CE0172">
            <w:pPr>
              <w:cnfStyle w:val="000000100000" w:firstRow="0" w:lastRow="0" w:firstColumn="0" w:lastColumn="0" w:oddVBand="0" w:evenVBand="0" w:oddHBand="1" w:evenHBand="0" w:firstRowFirstColumn="0" w:firstRowLastColumn="0" w:lastRowFirstColumn="0" w:lastRowLastColumn="0"/>
            </w:pPr>
          </w:p>
        </w:tc>
        <w:tc>
          <w:tcPr>
            <w:tcW w:w="2785" w:type="dxa"/>
          </w:tcPr>
          <w:p w:rsidR="007841C9" w:rsidRPr="000A31F4" w:rsidRDefault="007841C9" w:rsidP="00CE0172">
            <w:pPr>
              <w:cnfStyle w:val="000000100000" w:firstRow="0" w:lastRow="0" w:firstColumn="0" w:lastColumn="0" w:oddVBand="0" w:evenVBand="0" w:oddHBand="1" w:evenHBand="0" w:firstRowFirstColumn="0" w:firstRowLastColumn="0" w:lastRowFirstColumn="0" w:lastRowLastColumn="0"/>
              <w:rPr>
                <w:b/>
              </w:rPr>
            </w:pPr>
          </w:p>
        </w:tc>
      </w:tr>
    </w:tbl>
    <w:p w:rsidR="00761EBC" w:rsidRPr="003A2EB9" w:rsidRDefault="00761EBC"/>
    <w:p w:rsidR="00054F29" w:rsidRPr="00054F29" w:rsidRDefault="00054F29">
      <w:pPr>
        <w:rPr>
          <w:b/>
        </w:rPr>
      </w:pPr>
    </w:p>
    <w:sectPr w:rsidR="00054F29" w:rsidRPr="0005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E"/>
    <w:rsid w:val="000012D2"/>
    <w:rsid w:val="00025172"/>
    <w:rsid w:val="000510BB"/>
    <w:rsid w:val="00054F29"/>
    <w:rsid w:val="0008415F"/>
    <w:rsid w:val="000856F5"/>
    <w:rsid w:val="00086AE0"/>
    <w:rsid w:val="00087AD2"/>
    <w:rsid w:val="000A31F4"/>
    <w:rsid w:val="000C1BCF"/>
    <w:rsid w:val="000F439A"/>
    <w:rsid w:val="00114592"/>
    <w:rsid w:val="001251BE"/>
    <w:rsid w:val="00167C2C"/>
    <w:rsid w:val="00173D76"/>
    <w:rsid w:val="001A24E2"/>
    <w:rsid w:val="001B38C6"/>
    <w:rsid w:val="001D7D1B"/>
    <w:rsid w:val="001E7BBE"/>
    <w:rsid w:val="0020108A"/>
    <w:rsid w:val="002368BD"/>
    <w:rsid w:val="00276D8C"/>
    <w:rsid w:val="00285869"/>
    <w:rsid w:val="00297994"/>
    <w:rsid w:val="002E3012"/>
    <w:rsid w:val="002E606A"/>
    <w:rsid w:val="003270AF"/>
    <w:rsid w:val="00364E93"/>
    <w:rsid w:val="0039133C"/>
    <w:rsid w:val="003A2EB9"/>
    <w:rsid w:val="003B403E"/>
    <w:rsid w:val="003C1CAA"/>
    <w:rsid w:val="003C2CC0"/>
    <w:rsid w:val="003E18C3"/>
    <w:rsid w:val="00420BF6"/>
    <w:rsid w:val="00437E53"/>
    <w:rsid w:val="00472EAC"/>
    <w:rsid w:val="00526FB9"/>
    <w:rsid w:val="005543B2"/>
    <w:rsid w:val="005E357E"/>
    <w:rsid w:val="0060332D"/>
    <w:rsid w:val="00605434"/>
    <w:rsid w:val="006565BE"/>
    <w:rsid w:val="006658A5"/>
    <w:rsid w:val="00687227"/>
    <w:rsid w:val="006B5EFC"/>
    <w:rsid w:val="006C6530"/>
    <w:rsid w:val="006D4663"/>
    <w:rsid w:val="00710248"/>
    <w:rsid w:val="00746754"/>
    <w:rsid w:val="00761EBC"/>
    <w:rsid w:val="007841C9"/>
    <w:rsid w:val="007D4D04"/>
    <w:rsid w:val="007F41E8"/>
    <w:rsid w:val="007F5CEC"/>
    <w:rsid w:val="008115C4"/>
    <w:rsid w:val="00827D8E"/>
    <w:rsid w:val="008437EE"/>
    <w:rsid w:val="00857E48"/>
    <w:rsid w:val="0087355A"/>
    <w:rsid w:val="00890075"/>
    <w:rsid w:val="008A02D8"/>
    <w:rsid w:val="008A478B"/>
    <w:rsid w:val="008E0B2D"/>
    <w:rsid w:val="008F7D42"/>
    <w:rsid w:val="00906F58"/>
    <w:rsid w:val="00920DEE"/>
    <w:rsid w:val="009B5230"/>
    <w:rsid w:val="009C3EF8"/>
    <w:rsid w:val="009C6F5F"/>
    <w:rsid w:val="00A60E6F"/>
    <w:rsid w:val="00A739AF"/>
    <w:rsid w:val="00AC1759"/>
    <w:rsid w:val="00B3709E"/>
    <w:rsid w:val="00B720D1"/>
    <w:rsid w:val="00B84DB4"/>
    <w:rsid w:val="00BF126F"/>
    <w:rsid w:val="00C0183D"/>
    <w:rsid w:val="00C03009"/>
    <w:rsid w:val="00C1709A"/>
    <w:rsid w:val="00C560A0"/>
    <w:rsid w:val="00C62B1A"/>
    <w:rsid w:val="00C66F03"/>
    <w:rsid w:val="00CE0172"/>
    <w:rsid w:val="00CE2D9C"/>
    <w:rsid w:val="00D143EC"/>
    <w:rsid w:val="00D24B45"/>
    <w:rsid w:val="00D30FA8"/>
    <w:rsid w:val="00D47F16"/>
    <w:rsid w:val="00D6232D"/>
    <w:rsid w:val="00D66265"/>
    <w:rsid w:val="00D73965"/>
    <w:rsid w:val="00D74F05"/>
    <w:rsid w:val="00DE4560"/>
    <w:rsid w:val="00E0640D"/>
    <w:rsid w:val="00E2594A"/>
    <w:rsid w:val="00E32CC4"/>
    <w:rsid w:val="00E40CBD"/>
    <w:rsid w:val="00E634CE"/>
    <w:rsid w:val="00E81A68"/>
    <w:rsid w:val="00EA77AC"/>
    <w:rsid w:val="00EF7C28"/>
    <w:rsid w:val="00F468F7"/>
    <w:rsid w:val="00F77230"/>
    <w:rsid w:val="00F918B2"/>
    <w:rsid w:val="00FA5A7C"/>
    <w:rsid w:val="00FB3F51"/>
    <w:rsid w:val="00FB5B55"/>
    <w:rsid w:val="00FF42FB"/>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CD3A-79A6-47A6-A8DC-1CCF0C75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EE"/>
    <w:pPr>
      <w:spacing w:after="200" w:line="276" w:lineRule="auto"/>
    </w:pPr>
    <w:rPr>
      <w:lang w:val="de-DE"/>
    </w:rPr>
  </w:style>
  <w:style w:type="paragraph" w:styleId="Heading3">
    <w:name w:val="heading 3"/>
    <w:basedOn w:val="Normal"/>
    <w:link w:val="Heading3Char"/>
    <w:uiPriority w:val="9"/>
    <w:qFormat/>
    <w:rsid w:val="00E259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EE"/>
    <w:rPr>
      <w:color w:val="0563C1" w:themeColor="hyperlink"/>
      <w:u w:val="single"/>
    </w:rPr>
  </w:style>
  <w:style w:type="table" w:styleId="TableGrid">
    <w:name w:val="Table Grid"/>
    <w:basedOn w:val="TableNormal"/>
    <w:uiPriority w:val="39"/>
    <w:rsid w:val="007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3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F439A"/>
    <w:pPr>
      <w:ind w:left="720"/>
      <w:contextualSpacing/>
    </w:pPr>
  </w:style>
  <w:style w:type="character" w:customStyle="1" w:styleId="apple-converted-space">
    <w:name w:val="apple-converted-space"/>
    <w:basedOn w:val="DefaultParagraphFont"/>
    <w:rsid w:val="001B38C6"/>
  </w:style>
  <w:style w:type="character" w:customStyle="1" w:styleId="Heading3Char">
    <w:name w:val="Heading 3 Char"/>
    <w:basedOn w:val="DefaultParagraphFont"/>
    <w:link w:val="Heading3"/>
    <w:uiPriority w:val="9"/>
    <w:rsid w:val="00E2594A"/>
    <w:rPr>
      <w:rFonts w:ascii="Times New Roman" w:eastAsia="Times New Roman" w:hAnsi="Times New Roman" w:cs="Times New Roman"/>
      <w:b/>
      <w:bCs/>
      <w:sz w:val="27"/>
      <w:szCs w:val="27"/>
    </w:rPr>
  </w:style>
  <w:style w:type="character" w:customStyle="1" w:styleId="dbheading">
    <w:name w:val="dbheading"/>
    <w:basedOn w:val="DefaultParagraphFont"/>
    <w:rsid w:val="009B5230"/>
  </w:style>
  <w:style w:type="character" w:customStyle="1" w:styleId="contextmenucontainer">
    <w:name w:val="contextmenucontainer"/>
    <w:basedOn w:val="DefaultParagraphFont"/>
    <w:rsid w:val="009B5230"/>
  </w:style>
  <w:style w:type="paragraph" w:styleId="NormalWeb">
    <w:name w:val="Normal (Web)"/>
    <w:basedOn w:val="Normal"/>
    <w:uiPriority w:val="99"/>
    <w:semiHidden/>
    <w:unhideWhenUsed/>
    <w:rsid w:val="00687227"/>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FollowedHyperlink">
    <w:name w:val="FollowedHyperlink"/>
    <w:basedOn w:val="DefaultParagraphFont"/>
    <w:uiPriority w:val="99"/>
    <w:semiHidden/>
    <w:unhideWhenUsed/>
    <w:rsid w:val="00B3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525">
      <w:bodyDiv w:val="1"/>
      <w:marLeft w:val="0"/>
      <w:marRight w:val="0"/>
      <w:marTop w:val="0"/>
      <w:marBottom w:val="0"/>
      <w:divBdr>
        <w:top w:val="none" w:sz="0" w:space="0" w:color="auto"/>
        <w:left w:val="none" w:sz="0" w:space="0" w:color="auto"/>
        <w:bottom w:val="none" w:sz="0" w:space="0" w:color="auto"/>
        <w:right w:val="none" w:sz="0" w:space="0" w:color="auto"/>
      </w:divBdr>
    </w:div>
    <w:div w:id="70205516">
      <w:bodyDiv w:val="1"/>
      <w:marLeft w:val="0"/>
      <w:marRight w:val="0"/>
      <w:marTop w:val="0"/>
      <w:marBottom w:val="0"/>
      <w:divBdr>
        <w:top w:val="none" w:sz="0" w:space="0" w:color="auto"/>
        <w:left w:val="none" w:sz="0" w:space="0" w:color="auto"/>
        <w:bottom w:val="none" w:sz="0" w:space="0" w:color="auto"/>
        <w:right w:val="none" w:sz="0" w:space="0" w:color="auto"/>
      </w:divBdr>
    </w:div>
    <w:div w:id="164633350">
      <w:bodyDiv w:val="1"/>
      <w:marLeft w:val="0"/>
      <w:marRight w:val="0"/>
      <w:marTop w:val="0"/>
      <w:marBottom w:val="0"/>
      <w:divBdr>
        <w:top w:val="none" w:sz="0" w:space="0" w:color="auto"/>
        <w:left w:val="none" w:sz="0" w:space="0" w:color="auto"/>
        <w:bottom w:val="none" w:sz="0" w:space="0" w:color="auto"/>
        <w:right w:val="none" w:sz="0" w:space="0" w:color="auto"/>
      </w:divBdr>
    </w:div>
    <w:div w:id="193160193">
      <w:bodyDiv w:val="1"/>
      <w:marLeft w:val="0"/>
      <w:marRight w:val="0"/>
      <w:marTop w:val="0"/>
      <w:marBottom w:val="0"/>
      <w:divBdr>
        <w:top w:val="none" w:sz="0" w:space="0" w:color="auto"/>
        <w:left w:val="none" w:sz="0" w:space="0" w:color="auto"/>
        <w:bottom w:val="none" w:sz="0" w:space="0" w:color="auto"/>
        <w:right w:val="none" w:sz="0" w:space="0" w:color="auto"/>
      </w:divBdr>
    </w:div>
    <w:div w:id="322585043">
      <w:bodyDiv w:val="1"/>
      <w:marLeft w:val="0"/>
      <w:marRight w:val="0"/>
      <w:marTop w:val="0"/>
      <w:marBottom w:val="0"/>
      <w:divBdr>
        <w:top w:val="none" w:sz="0" w:space="0" w:color="auto"/>
        <w:left w:val="none" w:sz="0" w:space="0" w:color="auto"/>
        <w:bottom w:val="none" w:sz="0" w:space="0" w:color="auto"/>
        <w:right w:val="none" w:sz="0" w:space="0" w:color="auto"/>
      </w:divBdr>
    </w:div>
    <w:div w:id="355548874">
      <w:bodyDiv w:val="1"/>
      <w:marLeft w:val="0"/>
      <w:marRight w:val="0"/>
      <w:marTop w:val="0"/>
      <w:marBottom w:val="0"/>
      <w:divBdr>
        <w:top w:val="none" w:sz="0" w:space="0" w:color="auto"/>
        <w:left w:val="none" w:sz="0" w:space="0" w:color="auto"/>
        <w:bottom w:val="none" w:sz="0" w:space="0" w:color="auto"/>
        <w:right w:val="none" w:sz="0" w:space="0" w:color="auto"/>
      </w:divBdr>
    </w:div>
    <w:div w:id="384374726">
      <w:bodyDiv w:val="1"/>
      <w:marLeft w:val="0"/>
      <w:marRight w:val="0"/>
      <w:marTop w:val="0"/>
      <w:marBottom w:val="0"/>
      <w:divBdr>
        <w:top w:val="none" w:sz="0" w:space="0" w:color="auto"/>
        <w:left w:val="none" w:sz="0" w:space="0" w:color="auto"/>
        <w:bottom w:val="none" w:sz="0" w:space="0" w:color="auto"/>
        <w:right w:val="none" w:sz="0" w:space="0" w:color="auto"/>
      </w:divBdr>
    </w:div>
    <w:div w:id="658844360">
      <w:bodyDiv w:val="1"/>
      <w:marLeft w:val="0"/>
      <w:marRight w:val="0"/>
      <w:marTop w:val="0"/>
      <w:marBottom w:val="0"/>
      <w:divBdr>
        <w:top w:val="none" w:sz="0" w:space="0" w:color="auto"/>
        <w:left w:val="none" w:sz="0" w:space="0" w:color="auto"/>
        <w:bottom w:val="none" w:sz="0" w:space="0" w:color="auto"/>
        <w:right w:val="none" w:sz="0" w:space="0" w:color="auto"/>
      </w:divBdr>
    </w:div>
    <w:div w:id="713626635">
      <w:bodyDiv w:val="1"/>
      <w:marLeft w:val="0"/>
      <w:marRight w:val="0"/>
      <w:marTop w:val="0"/>
      <w:marBottom w:val="0"/>
      <w:divBdr>
        <w:top w:val="none" w:sz="0" w:space="0" w:color="auto"/>
        <w:left w:val="none" w:sz="0" w:space="0" w:color="auto"/>
        <w:bottom w:val="none" w:sz="0" w:space="0" w:color="auto"/>
        <w:right w:val="none" w:sz="0" w:space="0" w:color="auto"/>
      </w:divBdr>
    </w:div>
    <w:div w:id="831288711">
      <w:bodyDiv w:val="1"/>
      <w:marLeft w:val="0"/>
      <w:marRight w:val="0"/>
      <w:marTop w:val="0"/>
      <w:marBottom w:val="0"/>
      <w:divBdr>
        <w:top w:val="none" w:sz="0" w:space="0" w:color="auto"/>
        <w:left w:val="none" w:sz="0" w:space="0" w:color="auto"/>
        <w:bottom w:val="none" w:sz="0" w:space="0" w:color="auto"/>
        <w:right w:val="none" w:sz="0" w:space="0" w:color="auto"/>
      </w:divBdr>
    </w:div>
    <w:div w:id="848442724">
      <w:bodyDiv w:val="1"/>
      <w:marLeft w:val="0"/>
      <w:marRight w:val="0"/>
      <w:marTop w:val="0"/>
      <w:marBottom w:val="0"/>
      <w:divBdr>
        <w:top w:val="none" w:sz="0" w:space="0" w:color="auto"/>
        <w:left w:val="none" w:sz="0" w:space="0" w:color="auto"/>
        <w:bottom w:val="none" w:sz="0" w:space="0" w:color="auto"/>
        <w:right w:val="none" w:sz="0" w:space="0" w:color="auto"/>
      </w:divBdr>
    </w:div>
    <w:div w:id="856192030">
      <w:bodyDiv w:val="1"/>
      <w:marLeft w:val="0"/>
      <w:marRight w:val="0"/>
      <w:marTop w:val="0"/>
      <w:marBottom w:val="0"/>
      <w:divBdr>
        <w:top w:val="none" w:sz="0" w:space="0" w:color="auto"/>
        <w:left w:val="none" w:sz="0" w:space="0" w:color="auto"/>
        <w:bottom w:val="none" w:sz="0" w:space="0" w:color="auto"/>
        <w:right w:val="none" w:sz="0" w:space="0" w:color="auto"/>
      </w:divBdr>
    </w:div>
    <w:div w:id="914902431">
      <w:bodyDiv w:val="1"/>
      <w:marLeft w:val="0"/>
      <w:marRight w:val="0"/>
      <w:marTop w:val="0"/>
      <w:marBottom w:val="0"/>
      <w:divBdr>
        <w:top w:val="none" w:sz="0" w:space="0" w:color="auto"/>
        <w:left w:val="none" w:sz="0" w:space="0" w:color="auto"/>
        <w:bottom w:val="none" w:sz="0" w:space="0" w:color="auto"/>
        <w:right w:val="none" w:sz="0" w:space="0" w:color="auto"/>
      </w:divBdr>
    </w:div>
    <w:div w:id="1005279239">
      <w:bodyDiv w:val="1"/>
      <w:marLeft w:val="0"/>
      <w:marRight w:val="0"/>
      <w:marTop w:val="0"/>
      <w:marBottom w:val="0"/>
      <w:divBdr>
        <w:top w:val="none" w:sz="0" w:space="0" w:color="auto"/>
        <w:left w:val="none" w:sz="0" w:space="0" w:color="auto"/>
        <w:bottom w:val="none" w:sz="0" w:space="0" w:color="auto"/>
        <w:right w:val="none" w:sz="0" w:space="0" w:color="auto"/>
      </w:divBdr>
    </w:div>
    <w:div w:id="1109158786">
      <w:bodyDiv w:val="1"/>
      <w:marLeft w:val="0"/>
      <w:marRight w:val="0"/>
      <w:marTop w:val="0"/>
      <w:marBottom w:val="0"/>
      <w:divBdr>
        <w:top w:val="none" w:sz="0" w:space="0" w:color="auto"/>
        <w:left w:val="none" w:sz="0" w:space="0" w:color="auto"/>
        <w:bottom w:val="none" w:sz="0" w:space="0" w:color="auto"/>
        <w:right w:val="none" w:sz="0" w:space="0" w:color="auto"/>
      </w:divBdr>
    </w:div>
    <w:div w:id="1120612971">
      <w:bodyDiv w:val="1"/>
      <w:marLeft w:val="0"/>
      <w:marRight w:val="0"/>
      <w:marTop w:val="0"/>
      <w:marBottom w:val="0"/>
      <w:divBdr>
        <w:top w:val="none" w:sz="0" w:space="0" w:color="auto"/>
        <w:left w:val="none" w:sz="0" w:space="0" w:color="auto"/>
        <w:bottom w:val="none" w:sz="0" w:space="0" w:color="auto"/>
        <w:right w:val="none" w:sz="0" w:space="0" w:color="auto"/>
      </w:divBdr>
    </w:div>
    <w:div w:id="1203321050">
      <w:bodyDiv w:val="1"/>
      <w:marLeft w:val="0"/>
      <w:marRight w:val="0"/>
      <w:marTop w:val="0"/>
      <w:marBottom w:val="0"/>
      <w:divBdr>
        <w:top w:val="none" w:sz="0" w:space="0" w:color="auto"/>
        <w:left w:val="none" w:sz="0" w:space="0" w:color="auto"/>
        <w:bottom w:val="none" w:sz="0" w:space="0" w:color="auto"/>
        <w:right w:val="none" w:sz="0" w:space="0" w:color="auto"/>
      </w:divBdr>
    </w:div>
    <w:div w:id="1569463730">
      <w:bodyDiv w:val="1"/>
      <w:marLeft w:val="0"/>
      <w:marRight w:val="0"/>
      <w:marTop w:val="0"/>
      <w:marBottom w:val="0"/>
      <w:divBdr>
        <w:top w:val="none" w:sz="0" w:space="0" w:color="auto"/>
        <w:left w:val="none" w:sz="0" w:space="0" w:color="auto"/>
        <w:bottom w:val="none" w:sz="0" w:space="0" w:color="auto"/>
        <w:right w:val="none" w:sz="0" w:space="0" w:color="auto"/>
      </w:divBdr>
    </w:div>
    <w:div w:id="1590308544">
      <w:bodyDiv w:val="1"/>
      <w:marLeft w:val="0"/>
      <w:marRight w:val="0"/>
      <w:marTop w:val="0"/>
      <w:marBottom w:val="0"/>
      <w:divBdr>
        <w:top w:val="none" w:sz="0" w:space="0" w:color="auto"/>
        <w:left w:val="none" w:sz="0" w:space="0" w:color="auto"/>
        <w:bottom w:val="none" w:sz="0" w:space="0" w:color="auto"/>
        <w:right w:val="none" w:sz="0" w:space="0" w:color="auto"/>
      </w:divBdr>
      <w:divsChild>
        <w:div w:id="876427274">
          <w:marLeft w:val="0"/>
          <w:marRight w:val="0"/>
          <w:marTop w:val="0"/>
          <w:marBottom w:val="0"/>
          <w:divBdr>
            <w:top w:val="none" w:sz="0" w:space="0" w:color="auto"/>
            <w:left w:val="none" w:sz="0" w:space="0" w:color="auto"/>
            <w:bottom w:val="none" w:sz="0" w:space="0" w:color="auto"/>
            <w:right w:val="none" w:sz="0" w:space="0" w:color="auto"/>
          </w:divBdr>
        </w:div>
      </w:divsChild>
    </w:div>
    <w:div w:id="1667131166">
      <w:bodyDiv w:val="1"/>
      <w:marLeft w:val="0"/>
      <w:marRight w:val="0"/>
      <w:marTop w:val="0"/>
      <w:marBottom w:val="0"/>
      <w:divBdr>
        <w:top w:val="none" w:sz="0" w:space="0" w:color="auto"/>
        <w:left w:val="none" w:sz="0" w:space="0" w:color="auto"/>
        <w:bottom w:val="none" w:sz="0" w:space="0" w:color="auto"/>
        <w:right w:val="none" w:sz="0" w:space="0" w:color="auto"/>
      </w:divBdr>
    </w:div>
    <w:div w:id="1669675326">
      <w:bodyDiv w:val="1"/>
      <w:marLeft w:val="0"/>
      <w:marRight w:val="0"/>
      <w:marTop w:val="0"/>
      <w:marBottom w:val="0"/>
      <w:divBdr>
        <w:top w:val="none" w:sz="0" w:space="0" w:color="auto"/>
        <w:left w:val="none" w:sz="0" w:space="0" w:color="auto"/>
        <w:bottom w:val="none" w:sz="0" w:space="0" w:color="auto"/>
        <w:right w:val="none" w:sz="0" w:space="0" w:color="auto"/>
      </w:divBdr>
    </w:div>
    <w:div w:id="1755008122">
      <w:bodyDiv w:val="1"/>
      <w:marLeft w:val="0"/>
      <w:marRight w:val="0"/>
      <w:marTop w:val="0"/>
      <w:marBottom w:val="0"/>
      <w:divBdr>
        <w:top w:val="none" w:sz="0" w:space="0" w:color="auto"/>
        <w:left w:val="none" w:sz="0" w:space="0" w:color="auto"/>
        <w:bottom w:val="none" w:sz="0" w:space="0" w:color="auto"/>
        <w:right w:val="none" w:sz="0" w:space="0" w:color="auto"/>
      </w:divBdr>
    </w:div>
    <w:div w:id="1759402494">
      <w:bodyDiv w:val="1"/>
      <w:marLeft w:val="0"/>
      <w:marRight w:val="0"/>
      <w:marTop w:val="0"/>
      <w:marBottom w:val="0"/>
      <w:divBdr>
        <w:top w:val="none" w:sz="0" w:space="0" w:color="auto"/>
        <w:left w:val="none" w:sz="0" w:space="0" w:color="auto"/>
        <w:bottom w:val="none" w:sz="0" w:space="0" w:color="auto"/>
        <w:right w:val="none" w:sz="0" w:space="0" w:color="auto"/>
      </w:divBdr>
    </w:div>
    <w:div w:id="1807895625">
      <w:bodyDiv w:val="1"/>
      <w:marLeft w:val="0"/>
      <w:marRight w:val="0"/>
      <w:marTop w:val="0"/>
      <w:marBottom w:val="0"/>
      <w:divBdr>
        <w:top w:val="none" w:sz="0" w:space="0" w:color="auto"/>
        <w:left w:val="none" w:sz="0" w:space="0" w:color="auto"/>
        <w:bottom w:val="none" w:sz="0" w:space="0" w:color="auto"/>
        <w:right w:val="none" w:sz="0" w:space="0" w:color="auto"/>
      </w:divBdr>
    </w:div>
    <w:div w:id="1928927395">
      <w:bodyDiv w:val="1"/>
      <w:marLeft w:val="0"/>
      <w:marRight w:val="0"/>
      <w:marTop w:val="0"/>
      <w:marBottom w:val="0"/>
      <w:divBdr>
        <w:top w:val="none" w:sz="0" w:space="0" w:color="auto"/>
        <w:left w:val="none" w:sz="0" w:space="0" w:color="auto"/>
        <w:bottom w:val="none" w:sz="0" w:space="0" w:color="auto"/>
        <w:right w:val="none" w:sz="0" w:space="0" w:color="auto"/>
      </w:divBdr>
    </w:div>
    <w:div w:id="1933127647">
      <w:bodyDiv w:val="1"/>
      <w:marLeft w:val="0"/>
      <w:marRight w:val="0"/>
      <w:marTop w:val="0"/>
      <w:marBottom w:val="0"/>
      <w:divBdr>
        <w:top w:val="none" w:sz="0" w:space="0" w:color="auto"/>
        <w:left w:val="none" w:sz="0" w:space="0" w:color="auto"/>
        <w:bottom w:val="none" w:sz="0" w:space="0" w:color="auto"/>
        <w:right w:val="none" w:sz="0" w:space="0" w:color="auto"/>
      </w:divBdr>
    </w:div>
    <w:div w:id="1954481048">
      <w:bodyDiv w:val="1"/>
      <w:marLeft w:val="0"/>
      <w:marRight w:val="0"/>
      <w:marTop w:val="0"/>
      <w:marBottom w:val="0"/>
      <w:divBdr>
        <w:top w:val="none" w:sz="0" w:space="0" w:color="auto"/>
        <w:left w:val="none" w:sz="0" w:space="0" w:color="auto"/>
        <w:bottom w:val="none" w:sz="0" w:space="0" w:color="auto"/>
        <w:right w:val="none" w:sz="0" w:space="0" w:color="auto"/>
      </w:divBdr>
    </w:div>
    <w:div w:id="19637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webapps/discussionboard/do/forum?action=list_threads&amp;nav=discussion_board_entry&amp;course_id=_293061_1&amp;conf_id=_322405_1&amp;forum_id=_442620_1" TargetMode="External"/><Relationship Id="rId3" Type="http://schemas.openxmlformats.org/officeDocument/2006/relationships/settings" Target="settings.xml"/><Relationship Id="rId7" Type="http://schemas.openxmlformats.org/officeDocument/2006/relationships/hyperlink" Target="https://mymasonportal.gmu.edu/webapps/discussionboard/do/forum?action=list_threads&amp;nav=discussion_board_entry&amp;course_id=_293061_1&amp;conf_id=_322405_1&amp;forum_id=_442590_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ai.gmu.edu/" TargetMode="External"/><Relationship Id="rId5" Type="http://schemas.openxmlformats.org/officeDocument/2006/relationships/hyperlink" Target="mailto:rramire8@masonlive.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E2F2-AF28-41D7-A0C2-ADF47399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 Ramirez</cp:lastModifiedBy>
  <cp:revision>2</cp:revision>
  <dcterms:created xsi:type="dcterms:W3CDTF">2020-08-24T05:45:00Z</dcterms:created>
  <dcterms:modified xsi:type="dcterms:W3CDTF">2020-08-24T05:45:00Z</dcterms:modified>
</cp:coreProperties>
</file>