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61" w:rsidRPr="00E7528A" w:rsidRDefault="000D36FA" w:rsidP="00741661">
      <w:pPr>
        <w:jc w:val="center"/>
        <w:rPr>
          <w:b/>
        </w:rPr>
      </w:pPr>
      <w:r w:rsidRPr="00E7528A">
        <w:rPr>
          <w:b/>
        </w:rPr>
        <w:t>PSYC 890</w:t>
      </w:r>
      <w:r w:rsidR="00AB2999" w:rsidRPr="00E7528A">
        <w:rPr>
          <w:b/>
        </w:rPr>
        <w:t>-003</w:t>
      </w:r>
      <w:r w:rsidR="008F16F5" w:rsidRPr="00E7528A">
        <w:rPr>
          <w:b/>
        </w:rPr>
        <w:t xml:space="preserve"> </w:t>
      </w:r>
      <w:r w:rsidR="000F2D6E" w:rsidRPr="00E7528A">
        <w:rPr>
          <w:b/>
        </w:rPr>
        <w:t xml:space="preserve">Professional Seminar, </w:t>
      </w:r>
      <w:r w:rsidRPr="00E7528A">
        <w:rPr>
          <w:b/>
        </w:rPr>
        <w:t>Fall 20</w:t>
      </w:r>
      <w:r w:rsidR="00741661" w:rsidRPr="00E7528A">
        <w:rPr>
          <w:b/>
        </w:rPr>
        <w:t>1</w:t>
      </w:r>
      <w:r w:rsidR="00AB2999" w:rsidRPr="00E7528A">
        <w:rPr>
          <w:b/>
        </w:rPr>
        <w:t>9</w:t>
      </w:r>
    </w:p>
    <w:p w:rsidR="00741661" w:rsidRPr="00E7528A" w:rsidRDefault="00741661" w:rsidP="00741661">
      <w:pPr>
        <w:jc w:val="center"/>
        <w:rPr>
          <w:b/>
        </w:rPr>
      </w:pPr>
    </w:p>
    <w:p w:rsidR="000D36FA" w:rsidRPr="00E7528A" w:rsidRDefault="000D36FA" w:rsidP="00741661">
      <w:pPr>
        <w:rPr>
          <w:spacing w:val="-3"/>
        </w:rPr>
      </w:pPr>
      <w:r w:rsidRPr="00E7528A">
        <w:rPr>
          <w:b/>
          <w:spacing w:val="-3"/>
        </w:rPr>
        <w:t>Class</w:t>
      </w:r>
      <w:r w:rsidR="00F76548" w:rsidRPr="00E7528A">
        <w:rPr>
          <w:b/>
          <w:spacing w:val="-3"/>
        </w:rPr>
        <w:t xml:space="preserve"> Location</w:t>
      </w:r>
      <w:r w:rsidRPr="00E7528A">
        <w:rPr>
          <w:b/>
          <w:spacing w:val="-3"/>
        </w:rPr>
        <w:t>:</w:t>
      </w:r>
      <w:r w:rsidRPr="00E7528A">
        <w:rPr>
          <w:spacing w:val="-3"/>
        </w:rPr>
        <w:tab/>
      </w:r>
      <w:r w:rsidR="00B1374E">
        <w:rPr>
          <w:spacing w:val="-3"/>
        </w:rPr>
        <w:t>TBD, but mostly SUB 1,</w:t>
      </w:r>
      <w:r w:rsidR="00AB2999" w:rsidRPr="00E7528A">
        <w:rPr>
          <w:spacing w:val="-3"/>
        </w:rPr>
        <w:t>3b</w:t>
      </w:r>
    </w:p>
    <w:p w:rsidR="000D36FA" w:rsidRPr="00E7528A" w:rsidRDefault="00741661">
      <w:pPr>
        <w:suppressAutoHyphens/>
        <w:rPr>
          <w:spacing w:val="-3"/>
        </w:rPr>
      </w:pPr>
      <w:r w:rsidRPr="00E7528A">
        <w:rPr>
          <w:b/>
          <w:spacing w:val="-3"/>
        </w:rPr>
        <w:t>Instructor</w:t>
      </w:r>
      <w:r w:rsidR="000D36FA" w:rsidRPr="00E7528A">
        <w:rPr>
          <w:b/>
          <w:spacing w:val="-3"/>
        </w:rPr>
        <w:t>:</w:t>
      </w:r>
      <w:r w:rsidR="000D36FA" w:rsidRPr="00E7528A">
        <w:rPr>
          <w:spacing w:val="-3"/>
        </w:rPr>
        <w:tab/>
      </w:r>
      <w:r w:rsidR="00AB2999" w:rsidRPr="00E7528A">
        <w:rPr>
          <w:spacing w:val="-3"/>
        </w:rPr>
        <w:t>Tyler Shaw</w:t>
      </w:r>
    </w:p>
    <w:p w:rsidR="000D36FA" w:rsidRPr="00E7528A" w:rsidRDefault="000D36FA">
      <w:pPr>
        <w:suppressAutoHyphens/>
        <w:rPr>
          <w:spacing w:val="-3"/>
        </w:rPr>
      </w:pPr>
      <w:r w:rsidRPr="00E7528A">
        <w:rPr>
          <w:b/>
          <w:spacing w:val="-3"/>
        </w:rPr>
        <w:t xml:space="preserve">Office Hours: </w:t>
      </w:r>
      <w:r w:rsidRPr="00E7528A">
        <w:rPr>
          <w:b/>
          <w:spacing w:val="-3"/>
        </w:rPr>
        <w:tab/>
      </w:r>
      <w:r w:rsidRPr="00E7528A">
        <w:rPr>
          <w:spacing w:val="-3"/>
        </w:rPr>
        <w:t>By appt</w:t>
      </w:r>
    </w:p>
    <w:p w:rsidR="000D36FA" w:rsidRPr="00E7528A" w:rsidRDefault="000D36FA">
      <w:pPr>
        <w:suppressAutoHyphens/>
        <w:rPr>
          <w:spacing w:val="-3"/>
        </w:rPr>
      </w:pPr>
      <w:r w:rsidRPr="00E7528A">
        <w:rPr>
          <w:b/>
          <w:spacing w:val="-3"/>
        </w:rPr>
        <w:t>Office:</w:t>
      </w:r>
      <w:r w:rsidR="00FB4E3A" w:rsidRPr="00E7528A">
        <w:rPr>
          <w:spacing w:val="-3"/>
        </w:rPr>
        <w:t xml:space="preserve"> </w:t>
      </w:r>
      <w:r w:rsidR="00FB4E3A" w:rsidRPr="00E7528A">
        <w:rPr>
          <w:spacing w:val="-3"/>
        </w:rPr>
        <w:tab/>
      </w:r>
      <w:r w:rsidR="00FB4E3A" w:rsidRPr="00E7528A">
        <w:rPr>
          <w:spacing w:val="-3"/>
        </w:rPr>
        <w:tab/>
      </w:r>
      <w:r w:rsidR="00AB2999" w:rsidRPr="00E7528A">
        <w:rPr>
          <w:spacing w:val="-3"/>
        </w:rPr>
        <w:t>2059 David King</w:t>
      </w:r>
      <w:r w:rsidRPr="00E7528A">
        <w:rPr>
          <w:spacing w:val="-3"/>
        </w:rPr>
        <w:t xml:space="preserve"> Hall</w:t>
      </w:r>
    </w:p>
    <w:p w:rsidR="000D36FA" w:rsidRPr="00E7528A" w:rsidRDefault="000D36FA">
      <w:pPr>
        <w:suppressAutoHyphens/>
        <w:rPr>
          <w:spacing w:val="-3"/>
        </w:rPr>
      </w:pPr>
      <w:r w:rsidRPr="00E7528A">
        <w:rPr>
          <w:b/>
          <w:spacing w:val="-3"/>
        </w:rPr>
        <w:t>Phone:</w:t>
      </w:r>
      <w:r w:rsidR="00176766" w:rsidRPr="00E7528A">
        <w:rPr>
          <w:spacing w:val="-3"/>
        </w:rPr>
        <w:t xml:space="preserve"> </w:t>
      </w:r>
      <w:r w:rsidR="00176766" w:rsidRPr="00E7528A">
        <w:rPr>
          <w:spacing w:val="-3"/>
        </w:rPr>
        <w:tab/>
      </w:r>
      <w:r w:rsidR="00176766" w:rsidRPr="00E7528A">
        <w:rPr>
          <w:spacing w:val="-3"/>
        </w:rPr>
        <w:tab/>
      </w:r>
      <w:r w:rsidR="00AB2999" w:rsidRPr="00E7528A">
        <w:rPr>
          <w:spacing w:val="-3"/>
        </w:rPr>
        <w:t>703-993-5187</w:t>
      </w:r>
      <w:r w:rsidRPr="00E7528A">
        <w:rPr>
          <w:spacing w:val="-3"/>
        </w:rPr>
        <w:tab/>
      </w:r>
    </w:p>
    <w:p w:rsidR="000D36FA" w:rsidRPr="00E7528A" w:rsidRDefault="000D36FA">
      <w:pPr>
        <w:suppressAutoHyphens/>
        <w:rPr>
          <w:spacing w:val="-3"/>
        </w:rPr>
      </w:pPr>
      <w:r w:rsidRPr="00E7528A">
        <w:rPr>
          <w:b/>
          <w:spacing w:val="-3"/>
        </w:rPr>
        <w:t>Email:</w:t>
      </w:r>
      <w:r w:rsidRPr="00E7528A">
        <w:rPr>
          <w:spacing w:val="-3"/>
        </w:rPr>
        <w:t xml:space="preserve"> </w:t>
      </w:r>
      <w:r w:rsidRPr="00E7528A">
        <w:rPr>
          <w:spacing w:val="-3"/>
        </w:rPr>
        <w:tab/>
      </w:r>
      <w:r w:rsidRPr="00E7528A">
        <w:rPr>
          <w:spacing w:val="-3"/>
        </w:rPr>
        <w:tab/>
      </w:r>
      <w:hyperlink r:id="rId7" w:history="1">
        <w:r w:rsidR="00AB2999" w:rsidRPr="00E7528A">
          <w:rPr>
            <w:rStyle w:val="Hyperlink"/>
            <w:spacing w:val="-3"/>
          </w:rPr>
          <w:t>tshaw4@gmu.edu*</w:t>
        </w:r>
      </w:hyperlink>
    </w:p>
    <w:p w:rsidR="006314B3" w:rsidRPr="00E7528A" w:rsidRDefault="006314B3">
      <w:pPr>
        <w:suppressAutoHyphens/>
        <w:rPr>
          <w:spacing w:val="-3"/>
        </w:rPr>
      </w:pPr>
    </w:p>
    <w:p w:rsidR="006314B3" w:rsidRPr="00E7528A" w:rsidRDefault="006314B3" w:rsidP="00C64E13">
      <w:pPr>
        <w:suppressAutoHyphens/>
        <w:ind w:left="720"/>
        <w:rPr>
          <w:spacing w:val="-3"/>
        </w:rPr>
      </w:pPr>
      <w:r w:rsidRPr="00E7528A">
        <w:rPr>
          <w:spacing w:val="-3"/>
        </w:rPr>
        <w:t>*Mason uses electronic mail to provide official information to students. Examples include communications from course instructors, notices from the library, notices about academic standing, financ</w:t>
      </w:r>
      <w:r w:rsidR="00FE43C6" w:rsidRPr="00E7528A">
        <w:rPr>
          <w:spacing w:val="-3"/>
        </w:rPr>
        <w:t>ial aid information, class materi</w:t>
      </w:r>
      <w:r w:rsidRPr="00E7528A">
        <w:rPr>
          <w:spacing w:val="-3"/>
        </w:rPr>
        <w:t>als, assignments, questions and instructor feedback. Students are responsible for the content of university communication sent to their Mason email account and are required to activate that account and check it regularly.</w:t>
      </w:r>
    </w:p>
    <w:p w:rsidR="000D36FA" w:rsidRPr="00E7528A" w:rsidRDefault="000D36FA" w:rsidP="000D36FA">
      <w:pPr>
        <w:rPr>
          <w:b/>
        </w:rPr>
      </w:pPr>
    </w:p>
    <w:p w:rsidR="00A34E89" w:rsidRPr="00E7528A" w:rsidRDefault="000D36FA" w:rsidP="00A34E89">
      <w:pPr>
        <w:rPr>
          <w:bCs/>
        </w:rPr>
      </w:pPr>
      <w:r w:rsidRPr="00E7528A">
        <w:rPr>
          <w:b/>
        </w:rPr>
        <w:t xml:space="preserve">Course Description/Goals: </w:t>
      </w:r>
      <w:r w:rsidRPr="00E7528A">
        <w:t xml:space="preserve">This course is designed for graduate students in the HFAC </w:t>
      </w:r>
      <w:r w:rsidR="00FB4E3A" w:rsidRPr="00E7528A">
        <w:t xml:space="preserve">and CBN </w:t>
      </w:r>
      <w:r w:rsidRPr="00E7528A">
        <w:t>program</w:t>
      </w:r>
      <w:r w:rsidR="00176766" w:rsidRPr="00E7528A">
        <w:t>s</w:t>
      </w:r>
      <w:r w:rsidRPr="00E7528A">
        <w:t xml:space="preserve">. </w:t>
      </w:r>
      <w:r w:rsidR="00A34E89" w:rsidRPr="00E7528A">
        <w:rPr>
          <w:bCs/>
        </w:rPr>
        <w:t xml:space="preserve">Success in your career requires a solid background in </w:t>
      </w:r>
      <w:r w:rsidR="003D3195" w:rsidRPr="00E7528A">
        <w:rPr>
          <w:bCs/>
        </w:rPr>
        <w:t>your</w:t>
      </w:r>
      <w:r w:rsidR="00A34E89" w:rsidRPr="00E7528A">
        <w:rPr>
          <w:bCs/>
        </w:rPr>
        <w:t xml:space="preserve"> discipline </w:t>
      </w:r>
      <w:r w:rsidR="003D3195" w:rsidRPr="00E7528A">
        <w:rPr>
          <w:bCs/>
        </w:rPr>
        <w:t>and</w:t>
      </w:r>
      <w:r w:rsidR="00A34E89" w:rsidRPr="00E7528A">
        <w:rPr>
          <w:bCs/>
        </w:rPr>
        <w:t xml:space="preserve"> practical experience. </w:t>
      </w:r>
      <w:r w:rsidR="00776084" w:rsidRPr="00E7528A">
        <w:rPr>
          <w:bCs/>
        </w:rPr>
        <w:t>A</w:t>
      </w:r>
      <w:r w:rsidR="00A34E89" w:rsidRPr="00E7528A">
        <w:rPr>
          <w:bCs/>
        </w:rPr>
        <w:t xml:space="preserve"> wide range of "survival skills" also are needed, including the ability to communicate effectively, to find and keep a job, to secure funding, and behave responsibly. The overarching objective of this course is to assist in the acquisition of these essential skills. My goals </w:t>
      </w:r>
      <w:r w:rsidR="003D3195" w:rsidRPr="00E7528A">
        <w:rPr>
          <w:bCs/>
        </w:rPr>
        <w:t>are for you to</w:t>
      </w:r>
      <w:r w:rsidR="00A34E89" w:rsidRPr="00E7528A">
        <w:rPr>
          <w:bCs/>
        </w:rPr>
        <w:t xml:space="preserve"> develop: (1) strategies for maximizing </w:t>
      </w:r>
      <w:r w:rsidR="003D3195" w:rsidRPr="00E7528A">
        <w:rPr>
          <w:bCs/>
        </w:rPr>
        <w:t>your</w:t>
      </w:r>
      <w:r w:rsidR="00A34E89" w:rsidRPr="00E7528A">
        <w:rPr>
          <w:bCs/>
        </w:rPr>
        <w:t xml:space="preserve"> graduate school experience, (2) the opportunity to explore multiple career paths, (3) </w:t>
      </w:r>
      <w:r w:rsidR="006314B3" w:rsidRPr="00E7528A">
        <w:rPr>
          <w:bCs/>
        </w:rPr>
        <w:t xml:space="preserve">materials and processes that will facilitate job attainment and (4) </w:t>
      </w:r>
      <w:r w:rsidR="00A34E89" w:rsidRPr="00E7528A">
        <w:rPr>
          <w:bCs/>
        </w:rPr>
        <w:t xml:space="preserve">professional skills (including written and oral presentation skills) that will </w:t>
      </w:r>
      <w:r w:rsidR="006314B3" w:rsidRPr="00E7528A">
        <w:rPr>
          <w:bCs/>
        </w:rPr>
        <w:t xml:space="preserve">carry into the professional world and </w:t>
      </w:r>
      <w:r w:rsidR="00A34E89" w:rsidRPr="00E7528A">
        <w:rPr>
          <w:bCs/>
        </w:rPr>
        <w:t>promote success in both academic and non-academic careers</w:t>
      </w:r>
      <w:r w:rsidR="00B94359" w:rsidRPr="00E7528A">
        <w:rPr>
          <w:bCs/>
        </w:rPr>
        <w:t>.</w:t>
      </w:r>
    </w:p>
    <w:p w:rsidR="00A34E89" w:rsidRPr="00E7528A" w:rsidRDefault="00A34E89" w:rsidP="00A34E89">
      <w:pPr>
        <w:rPr>
          <w:bCs/>
        </w:rPr>
      </w:pPr>
    </w:p>
    <w:p w:rsidR="00A34E89" w:rsidRPr="00E7528A" w:rsidRDefault="00A34E89" w:rsidP="00A34E89">
      <w:pPr>
        <w:rPr>
          <w:bCs/>
        </w:rPr>
      </w:pPr>
      <w:r w:rsidRPr="00E7528A">
        <w:rPr>
          <w:b/>
          <w:bCs/>
        </w:rPr>
        <w:t>Course Structure:</w:t>
      </w:r>
      <w:r w:rsidRPr="00E7528A">
        <w:rPr>
          <w:bCs/>
        </w:rPr>
        <w:t xml:space="preserve"> The course </w:t>
      </w:r>
      <w:r w:rsidR="00AB2999" w:rsidRPr="00E7528A">
        <w:rPr>
          <w:bCs/>
        </w:rPr>
        <w:t xml:space="preserve">consists primarily of </w:t>
      </w:r>
      <w:r w:rsidRPr="00E7528A">
        <w:rPr>
          <w:bCs/>
        </w:rPr>
        <w:t xml:space="preserve">three </w:t>
      </w:r>
      <w:r w:rsidR="00AB2999" w:rsidRPr="00E7528A">
        <w:rPr>
          <w:bCs/>
        </w:rPr>
        <w:t xml:space="preserve">themes. </w:t>
      </w:r>
      <w:r w:rsidRPr="00E7528A">
        <w:rPr>
          <w:bCs/>
        </w:rPr>
        <w:t xml:space="preserve">The first </w:t>
      </w:r>
      <w:r w:rsidR="00AB2999" w:rsidRPr="00E7528A">
        <w:rPr>
          <w:bCs/>
        </w:rPr>
        <w:t>theme</w:t>
      </w:r>
      <w:r w:rsidRPr="00E7528A">
        <w:rPr>
          <w:bCs/>
        </w:rPr>
        <w:t xml:space="preserve"> </w:t>
      </w:r>
      <w:r w:rsidR="00776084" w:rsidRPr="00E7528A">
        <w:rPr>
          <w:bCs/>
        </w:rPr>
        <w:t>is</w:t>
      </w:r>
      <w:r w:rsidRPr="00E7528A">
        <w:rPr>
          <w:bCs/>
        </w:rPr>
        <w:t xml:space="preserve"> </w:t>
      </w:r>
      <w:r w:rsidRPr="00E7528A">
        <w:rPr>
          <w:bCs/>
          <w:i/>
        </w:rPr>
        <w:t>an Introduction to Surviving and Thriving in Graduate School and Beyond</w:t>
      </w:r>
      <w:r w:rsidR="00AB2999" w:rsidRPr="00E7528A">
        <w:rPr>
          <w:bCs/>
        </w:rPr>
        <w:t>.</w:t>
      </w:r>
      <w:r w:rsidRPr="00E7528A">
        <w:rPr>
          <w:bCs/>
        </w:rPr>
        <w:t xml:space="preserve"> </w:t>
      </w:r>
      <w:r w:rsidR="00E9592F" w:rsidRPr="00E7528A">
        <w:rPr>
          <w:bCs/>
        </w:rPr>
        <w:t xml:space="preserve">The second </w:t>
      </w:r>
      <w:r w:rsidR="00AB2999" w:rsidRPr="00E7528A">
        <w:rPr>
          <w:bCs/>
        </w:rPr>
        <w:t>theme</w:t>
      </w:r>
      <w:r w:rsidR="00E9592F" w:rsidRPr="00E7528A">
        <w:rPr>
          <w:bCs/>
        </w:rPr>
        <w:t xml:space="preserve"> addresses </w:t>
      </w:r>
      <w:r w:rsidR="00E9592F" w:rsidRPr="00E7528A">
        <w:rPr>
          <w:bCs/>
          <w:i/>
        </w:rPr>
        <w:t>Developing Professional Skills</w:t>
      </w:r>
      <w:r w:rsidR="00E9592F" w:rsidRPr="00E7528A">
        <w:rPr>
          <w:bCs/>
        </w:rPr>
        <w:t xml:space="preserve"> (such as presentation skills and networking). </w:t>
      </w:r>
      <w:r w:rsidRPr="00E7528A">
        <w:rPr>
          <w:bCs/>
        </w:rPr>
        <w:t xml:space="preserve">The </w:t>
      </w:r>
      <w:r w:rsidR="00E9592F" w:rsidRPr="00E7528A">
        <w:rPr>
          <w:bCs/>
        </w:rPr>
        <w:t>third</w:t>
      </w:r>
      <w:r w:rsidRPr="00E7528A">
        <w:rPr>
          <w:bCs/>
        </w:rPr>
        <w:t xml:space="preserve"> </w:t>
      </w:r>
      <w:r w:rsidR="00AB2999" w:rsidRPr="00E7528A">
        <w:rPr>
          <w:bCs/>
        </w:rPr>
        <w:t xml:space="preserve">theme </w:t>
      </w:r>
      <w:r w:rsidR="00DC167B" w:rsidRPr="00E7528A">
        <w:rPr>
          <w:bCs/>
        </w:rPr>
        <w:t>is focused on</w:t>
      </w:r>
      <w:r w:rsidRPr="00E7528A">
        <w:rPr>
          <w:bCs/>
        </w:rPr>
        <w:t xml:space="preserve"> </w:t>
      </w:r>
      <w:r w:rsidRPr="00E7528A">
        <w:rPr>
          <w:bCs/>
          <w:i/>
        </w:rPr>
        <w:t>Professional Activities</w:t>
      </w:r>
      <w:r w:rsidRPr="00E7528A">
        <w:rPr>
          <w:bCs/>
        </w:rPr>
        <w:t xml:space="preserve"> (including grant-writing and job applications). </w:t>
      </w:r>
      <w:r w:rsidR="00DC167B" w:rsidRPr="00E7528A">
        <w:rPr>
          <w:bCs/>
        </w:rPr>
        <w:t xml:space="preserve">I will discuss my own knowledge on the subject (yes I will have slides), but I’d like for courses to be primarily discussion based. </w:t>
      </w:r>
    </w:p>
    <w:p w:rsidR="000D36FA" w:rsidRPr="00E7528A" w:rsidRDefault="000D36FA" w:rsidP="000D36FA">
      <w:pPr>
        <w:rPr>
          <w:bCs/>
        </w:rPr>
      </w:pPr>
    </w:p>
    <w:p w:rsidR="000D36FA" w:rsidRPr="00E7528A" w:rsidRDefault="000D36FA" w:rsidP="000D36FA">
      <w:pPr>
        <w:rPr>
          <w:b/>
          <w:bCs/>
        </w:rPr>
      </w:pPr>
      <w:r w:rsidRPr="00E7528A">
        <w:rPr>
          <w:b/>
          <w:bCs/>
        </w:rPr>
        <w:t>Textbooks/Readings:</w:t>
      </w:r>
    </w:p>
    <w:p w:rsidR="00804F05" w:rsidRPr="00E7528A" w:rsidRDefault="000D36FA" w:rsidP="000D36FA">
      <w:pPr>
        <w:rPr>
          <w:b/>
          <w:bCs/>
        </w:rPr>
      </w:pPr>
      <w:r w:rsidRPr="00E7528A">
        <w:rPr>
          <w:b/>
          <w:bCs/>
        </w:rPr>
        <w:t>REQUIRED</w:t>
      </w:r>
      <w:r w:rsidR="00804F05" w:rsidRPr="00E7528A">
        <w:rPr>
          <w:b/>
          <w:bCs/>
        </w:rPr>
        <w:t xml:space="preserve"> </w:t>
      </w:r>
      <w:r w:rsidR="00DC167B" w:rsidRPr="00E7528A">
        <w:rPr>
          <w:b/>
          <w:bCs/>
        </w:rPr>
        <w:t xml:space="preserve">–those that are </w:t>
      </w:r>
      <w:r w:rsidR="00DC167B" w:rsidRPr="00E7528A">
        <w:rPr>
          <w:b/>
          <w:bCs/>
          <w:highlight w:val="yellow"/>
        </w:rPr>
        <w:t>highlighted</w:t>
      </w:r>
      <w:r w:rsidR="00DC167B" w:rsidRPr="00E7528A">
        <w:rPr>
          <w:b/>
          <w:bCs/>
        </w:rPr>
        <w:t xml:space="preserve"> require purchase</w:t>
      </w:r>
    </w:p>
    <w:p w:rsidR="000D36FA" w:rsidRPr="00E7528A" w:rsidRDefault="00DC167B" w:rsidP="006E55F1">
      <w:pPr>
        <w:numPr>
          <w:ilvl w:val="0"/>
          <w:numId w:val="1"/>
        </w:numPr>
      </w:pPr>
      <w:r w:rsidRPr="00E7528A">
        <w:t xml:space="preserve"> </w:t>
      </w:r>
      <w:r w:rsidR="00804F05" w:rsidRPr="00E7528A">
        <w:t xml:space="preserve">[1] </w:t>
      </w:r>
      <w:r w:rsidR="000D36FA" w:rsidRPr="00E7528A">
        <w:rPr>
          <w:i/>
        </w:rPr>
        <w:t>APA’s Ethical Principles of Psychologists and Code of Conduct</w:t>
      </w:r>
      <w:r w:rsidR="000D36FA" w:rsidRPr="00E7528A">
        <w:t>. Note that this can be read on APA’s web site (</w:t>
      </w:r>
      <w:hyperlink r:id="rId8" w:history="1">
        <w:r w:rsidR="000D36FA" w:rsidRPr="00E7528A">
          <w:rPr>
            <w:rStyle w:val="Hyperlink"/>
            <w:color w:val="auto"/>
          </w:rPr>
          <w:t>http://www.apa.org/ethics/)</w:t>
        </w:r>
      </w:hyperlink>
      <w:r w:rsidR="000747E1" w:rsidRPr="00E7528A">
        <w:t xml:space="preserve">. </w:t>
      </w:r>
    </w:p>
    <w:p w:rsidR="000747E1" w:rsidRPr="00E7528A" w:rsidRDefault="00DC167B" w:rsidP="000747E1">
      <w:pPr>
        <w:numPr>
          <w:ilvl w:val="0"/>
          <w:numId w:val="1"/>
        </w:numPr>
      </w:pPr>
      <w:r w:rsidRPr="00E7528A">
        <w:t xml:space="preserve"> </w:t>
      </w:r>
      <w:r w:rsidR="00CF1518" w:rsidRPr="00E7528A">
        <w:t>[2</w:t>
      </w:r>
      <w:r w:rsidR="000747E1" w:rsidRPr="00E7528A">
        <w:t xml:space="preserve">] Giacalone, R. A. (2011). The 5 species of journal reviewers. The Chronicle of Higher Education. Online: </w:t>
      </w:r>
      <w:hyperlink r:id="rId9" w:history="1">
        <w:r w:rsidR="000747E1" w:rsidRPr="00E7528A">
          <w:rPr>
            <w:rStyle w:val="Hyperlink"/>
          </w:rPr>
          <w:t>http://chronicle.com/article/The-5-Species-of-Journal/130016/</w:t>
        </w:r>
      </w:hyperlink>
    </w:p>
    <w:p w:rsidR="000747E1" w:rsidRPr="00E7528A" w:rsidRDefault="00CF1518" w:rsidP="000747E1">
      <w:pPr>
        <w:numPr>
          <w:ilvl w:val="0"/>
          <w:numId w:val="1"/>
        </w:numPr>
      </w:pPr>
      <w:r w:rsidRPr="00E7528A">
        <w:t>[2</w:t>
      </w:r>
      <w:r w:rsidR="000747E1" w:rsidRPr="00E7528A">
        <w:t xml:space="preserve">] Haggerty, K. D. (2012). How to write an anonymous peer review. The Chronicle of Higher Education. Online: </w:t>
      </w:r>
      <w:hyperlink r:id="rId10" w:history="1">
        <w:r w:rsidR="000747E1" w:rsidRPr="00E7528A">
          <w:rPr>
            <w:rStyle w:val="Hyperlink"/>
          </w:rPr>
          <w:t>http://chronicle.com/article/How-to-Write-an-Anonymous-Peer/131475</w:t>
        </w:r>
      </w:hyperlink>
    </w:p>
    <w:p w:rsidR="000D36FA" w:rsidRPr="00E7528A" w:rsidRDefault="00804F05" w:rsidP="006E55F1">
      <w:pPr>
        <w:numPr>
          <w:ilvl w:val="0"/>
          <w:numId w:val="1"/>
        </w:numPr>
      </w:pPr>
      <w:r w:rsidRPr="00E7528A">
        <w:t xml:space="preserve">[1] </w:t>
      </w:r>
      <w:r w:rsidR="000D36FA" w:rsidRPr="00E7528A">
        <w:t xml:space="preserve">Johnson, B. W., &amp; Ridley, C. R. (2004). </w:t>
      </w:r>
      <w:r w:rsidR="000D36FA" w:rsidRPr="00E7528A">
        <w:rPr>
          <w:i/>
        </w:rPr>
        <w:t>The Elements of Mentoring</w:t>
      </w:r>
      <w:r w:rsidR="000747E1" w:rsidRPr="00E7528A">
        <w:t>. Palgrave Macmillan.</w:t>
      </w:r>
    </w:p>
    <w:p w:rsidR="000D36FA" w:rsidRPr="00E7528A" w:rsidRDefault="00BD3A13" w:rsidP="006E55F1">
      <w:pPr>
        <w:numPr>
          <w:ilvl w:val="0"/>
          <w:numId w:val="1"/>
        </w:numPr>
        <w:rPr>
          <w:highlight w:val="yellow"/>
        </w:rPr>
      </w:pPr>
      <w:r w:rsidRPr="00E7528A">
        <w:rPr>
          <w:highlight w:val="yellow"/>
        </w:rPr>
        <w:t>[2</w:t>
      </w:r>
      <w:r w:rsidR="00804F05" w:rsidRPr="00E7528A">
        <w:rPr>
          <w:highlight w:val="yellow"/>
        </w:rPr>
        <w:t xml:space="preserve">] </w:t>
      </w:r>
      <w:r w:rsidR="000D36FA" w:rsidRPr="00E7528A">
        <w:rPr>
          <w:highlight w:val="yellow"/>
        </w:rPr>
        <w:t xml:space="preserve">Koegel, T. J. (2007). </w:t>
      </w:r>
      <w:r w:rsidR="000D36FA" w:rsidRPr="00E7528A">
        <w:rPr>
          <w:i/>
          <w:highlight w:val="yellow"/>
        </w:rPr>
        <w:t>The Exceptional Presenter</w:t>
      </w:r>
      <w:r w:rsidR="000D36FA" w:rsidRPr="00E7528A">
        <w:rPr>
          <w:highlight w:val="yellow"/>
        </w:rPr>
        <w:t xml:space="preserve">: </w:t>
      </w:r>
      <w:r w:rsidR="000D36FA" w:rsidRPr="00E7528A">
        <w:rPr>
          <w:i/>
          <w:highlight w:val="yellow"/>
        </w:rPr>
        <w:t>A Proven Formula to Open up and Own the Room</w:t>
      </w:r>
      <w:r w:rsidR="000D36FA" w:rsidRPr="00E7528A">
        <w:rPr>
          <w:highlight w:val="yellow"/>
        </w:rPr>
        <w:t xml:space="preserve">.  </w:t>
      </w:r>
      <w:r w:rsidR="000747E1" w:rsidRPr="00E7528A">
        <w:rPr>
          <w:highlight w:val="yellow"/>
        </w:rPr>
        <w:t>Greenleaf Book Press.</w:t>
      </w:r>
      <w:r w:rsidR="00DC167B" w:rsidRPr="00E7528A">
        <w:rPr>
          <w:highlight w:val="yellow"/>
        </w:rPr>
        <w:t xml:space="preserve"> </w:t>
      </w:r>
      <w:hyperlink r:id="rId11" w:history="1">
        <w:r w:rsidR="00DC167B" w:rsidRPr="00E7528A">
          <w:rPr>
            <w:rStyle w:val="Hyperlink"/>
          </w:rPr>
          <w:t>https://www.amazon.com/s?k=The+Exceptional+Presenter%3A+A+Proven+Formula+to+Open+up+and+Own+the+Room&amp;i=stripbooks&amp;ref=nb_sb_noss</w:t>
        </w:r>
      </w:hyperlink>
      <w:r w:rsidR="00DC167B" w:rsidRPr="00E7528A">
        <w:rPr>
          <w:highlight w:val="yellow"/>
        </w:rPr>
        <w:t xml:space="preserve"> (about 13 bucks)</w:t>
      </w:r>
    </w:p>
    <w:p w:rsidR="000D36FA" w:rsidRPr="00E7528A" w:rsidRDefault="00804F05" w:rsidP="006E55F1">
      <w:pPr>
        <w:numPr>
          <w:ilvl w:val="0"/>
          <w:numId w:val="1"/>
        </w:numPr>
        <w:rPr>
          <w:highlight w:val="yellow"/>
        </w:rPr>
      </w:pPr>
      <w:r w:rsidRPr="00E7528A">
        <w:rPr>
          <w:highlight w:val="yellow"/>
        </w:rPr>
        <w:t xml:space="preserve">[1] </w:t>
      </w:r>
      <w:r w:rsidR="000D36FA" w:rsidRPr="00E7528A">
        <w:rPr>
          <w:highlight w:val="yellow"/>
        </w:rPr>
        <w:t xml:space="preserve">Silvia, P. J. (2007). </w:t>
      </w:r>
      <w:r w:rsidR="000D36FA" w:rsidRPr="00E7528A">
        <w:rPr>
          <w:i/>
          <w:highlight w:val="yellow"/>
        </w:rPr>
        <w:t>How to Write a Lot: A Practical Guide to Productive Writing</w:t>
      </w:r>
      <w:r w:rsidR="000D36FA" w:rsidRPr="00E7528A">
        <w:rPr>
          <w:highlight w:val="yellow"/>
        </w:rPr>
        <w:t>. American Psych</w:t>
      </w:r>
      <w:r w:rsidR="000747E1" w:rsidRPr="00E7528A">
        <w:rPr>
          <w:highlight w:val="yellow"/>
        </w:rPr>
        <w:t xml:space="preserve">ological Association. </w:t>
      </w:r>
      <w:hyperlink r:id="rId12" w:history="1">
        <w:r w:rsidR="00DC167B" w:rsidRPr="00E7528A">
          <w:rPr>
            <w:rStyle w:val="Hyperlink"/>
          </w:rPr>
          <w:t>https://www.amazon.com/How-Write-Lot-Practical-Productive/dp/1591477433</w:t>
        </w:r>
      </w:hyperlink>
      <w:r w:rsidR="00DC167B" w:rsidRPr="00E7528A">
        <w:rPr>
          <w:highlight w:val="yellow"/>
        </w:rPr>
        <w:t xml:space="preserve"> (about 4 bucks--1st edition is OK)</w:t>
      </w:r>
    </w:p>
    <w:p w:rsidR="000747E1" w:rsidRPr="00E7528A" w:rsidRDefault="000747E1" w:rsidP="000747E1">
      <w:pPr>
        <w:ind w:left="360"/>
      </w:pPr>
    </w:p>
    <w:p w:rsidR="00804F05" w:rsidRPr="00E7528A" w:rsidRDefault="00804F05" w:rsidP="00804F05">
      <w:pPr>
        <w:rPr>
          <w:b/>
        </w:rPr>
      </w:pPr>
    </w:p>
    <w:p w:rsidR="000D36FA" w:rsidRPr="00E7528A" w:rsidRDefault="000D36FA" w:rsidP="00804F05">
      <w:pPr>
        <w:rPr>
          <w:b/>
        </w:rPr>
      </w:pPr>
      <w:r w:rsidRPr="00E7528A">
        <w:rPr>
          <w:b/>
        </w:rPr>
        <w:t>RECOMMENDED</w:t>
      </w:r>
    </w:p>
    <w:p w:rsidR="00934494" w:rsidRPr="00E7528A" w:rsidRDefault="00934494" w:rsidP="00934494">
      <w:pPr>
        <w:numPr>
          <w:ilvl w:val="0"/>
          <w:numId w:val="1"/>
        </w:numPr>
      </w:pPr>
      <w:r w:rsidRPr="00E7528A">
        <w:t xml:space="preserve">Campion, M. A. (1993). Editorial: Article review checklist: A criterion checklist for reviewing articles in applied psychology. </w:t>
      </w:r>
      <w:r w:rsidRPr="00E7528A">
        <w:rPr>
          <w:i/>
          <w:iCs/>
        </w:rPr>
        <w:t>Personnel Psychology</w:t>
      </w:r>
      <w:r w:rsidRPr="00E7528A">
        <w:t xml:space="preserve">, </w:t>
      </w:r>
      <w:r w:rsidRPr="00E7528A">
        <w:rPr>
          <w:i/>
          <w:iCs/>
        </w:rPr>
        <w:t>46</w:t>
      </w:r>
      <w:r w:rsidRPr="00E7528A">
        <w:t xml:space="preserve">, 705-718. </w:t>
      </w:r>
    </w:p>
    <w:p w:rsidR="00934494" w:rsidRPr="00E7528A" w:rsidRDefault="00934494" w:rsidP="00934494">
      <w:pPr>
        <w:numPr>
          <w:ilvl w:val="0"/>
          <w:numId w:val="1"/>
        </w:numPr>
      </w:pPr>
      <w:r w:rsidRPr="00E7528A">
        <w:t xml:space="preserve">Campion, M. A. (1997). Editorial: Rules for references: Suggested guidelines for choosing literary citations for research articles in applied psychology. </w:t>
      </w:r>
      <w:r w:rsidRPr="00E7528A">
        <w:rPr>
          <w:i/>
          <w:iCs/>
        </w:rPr>
        <w:t>Personnel Psychology</w:t>
      </w:r>
      <w:r w:rsidRPr="00E7528A">
        <w:t xml:space="preserve">, </w:t>
      </w:r>
      <w:r w:rsidRPr="00E7528A">
        <w:rPr>
          <w:i/>
          <w:iCs/>
        </w:rPr>
        <w:t>50</w:t>
      </w:r>
      <w:r w:rsidRPr="00E7528A">
        <w:t xml:space="preserve">, 165-167. </w:t>
      </w:r>
    </w:p>
    <w:p w:rsidR="00DC167B" w:rsidRPr="00E7528A" w:rsidRDefault="00DC167B" w:rsidP="00DC167B">
      <w:pPr>
        <w:numPr>
          <w:ilvl w:val="0"/>
          <w:numId w:val="1"/>
        </w:numPr>
        <w:rPr>
          <w:bCs/>
        </w:rPr>
      </w:pPr>
      <w:r w:rsidRPr="00E7528A">
        <w:t xml:space="preserve">[1] </w:t>
      </w:r>
      <w:r w:rsidRPr="00E7528A">
        <w:rPr>
          <w:bCs/>
        </w:rPr>
        <w:t>Darley</w:t>
      </w:r>
      <w:r w:rsidRPr="00E7528A">
        <w:t xml:space="preserve">, J. M., Zanna, M. P., &amp; Roediger, H. L. (2004). </w:t>
      </w:r>
      <w:r w:rsidRPr="00E7528A">
        <w:rPr>
          <w:i/>
        </w:rPr>
        <w:t>The compleat academic: A career guide</w:t>
      </w:r>
      <w:r w:rsidRPr="00E7528A">
        <w:t>. (2</w:t>
      </w:r>
      <w:r w:rsidRPr="00E7528A">
        <w:rPr>
          <w:vertAlign w:val="superscript"/>
        </w:rPr>
        <w:t>nd</w:t>
      </w:r>
      <w:r w:rsidRPr="00E7528A">
        <w:t xml:space="preserve"> Edition). Washington, D.C.: American Psychological Association. </w:t>
      </w:r>
    </w:p>
    <w:p w:rsidR="000D36FA" w:rsidRPr="00E7528A" w:rsidRDefault="000D36FA" w:rsidP="006E55F1">
      <w:pPr>
        <w:numPr>
          <w:ilvl w:val="0"/>
          <w:numId w:val="1"/>
        </w:numPr>
      </w:pPr>
      <w:r w:rsidRPr="00E7528A">
        <w:t xml:space="preserve">Fine, M. A., &amp; Kurdek, L. A. (1993). Reflections on determining authorship credit and authorship order on faculty-student collaborations. </w:t>
      </w:r>
      <w:r w:rsidRPr="00E7528A">
        <w:rPr>
          <w:i/>
        </w:rPr>
        <w:t>American Psychologist, 48</w:t>
      </w:r>
      <w:r w:rsidRPr="00E7528A">
        <w:t>, 1141-1147.</w:t>
      </w:r>
    </w:p>
    <w:p w:rsidR="00CF1518" w:rsidRPr="00E7528A" w:rsidRDefault="00CF1518" w:rsidP="00CF1518">
      <w:pPr>
        <w:numPr>
          <w:ilvl w:val="0"/>
          <w:numId w:val="1"/>
        </w:numPr>
        <w:rPr>
          <w:bCs/>
        </w:rPr>
      </w:pPr>
      <w:r w:rsidRPr="00E7528A">
        <w:rPr>
          <w:bCs/>
        </w:rPr>
        <w:lastRenderedPageBreak/>
        <w:t>Geletkanycz, M. &amp; Tepper, B. J. (2012). Publishing in AMJ–Part 6: Discussing the Implications,</w:t>
      </w:r>
      <w:r w:rsidRPr="00E7528A">
        <w:t xml:space="preserve"> Academy of Management Journal, 55, 256-260. </w:t>
      </w:r>
      <w:hyperlink r:id="rId13" w:history="1">
        <w:r w:rsidRPr="00E7528A">
          <w:rPr>
            <w:rStyle w:val="Hyperlink"/>
          </w:rPr>
          <w:t>http://mobile.ethicist.aom.org/uploadedFiles/Publications/AMJ/FTE-Implications.pdf</w:t>
        </w:r>
      </w:hyperlink>
      <w:r w:rsidRPr="00E7528A">
        <w:t xml:space="preserve"> </w:t>
      </w:r>
    </w:p>
    <w:p w:rsidR="00CF1518" w:rsidRPr="00E7528A" w:rsidRDefault="00CF1518" w:rsidP="00CF1518">
      <w:pPr>
        <w:numPr>
          <w:ilvl w:val="0"/>
          <w:numId w:val="1"/>
        </w:numPr>
      </w:pPr>
      <w:r w:rsidRPr="00E7528A">
        <w:t xml:space="preserve">Grant, A., &amp; Pollock, T. (2011). Publishing in AMJ-Part 3: Setting the hook. Academy of Management Journal, 54, 873-879. </w:t>
      </w:r>
      <w:hyperlink r:id="rId14" w:history="1">
        <w:r w:rsidRPr="00E7528A">
          <w:rPr>
            <w:rStyle w:val="Hyperlink"/>
          </w:rPr>
          <w:t>http://journla.aomonline.org/amj/editorials/FTE-SettingTheHook.pdf</w:t>
        </w:r>
      </w:hyperlink>
    </w:p>
    <w:p w:rsidR="000D36FA" w:rsidRPr="00E7528A" w:rsidRDefault="000D36FA" w:rsidP="006E55F1">
      <w:pPr>
        <w:numPr>
          <w:ilvl w:val="0"/>
          <w:numId w:val="1"/>
        </w:numPr>
      </w:pPr>
      <w:r w:rsidRPr="00E7528A">
        <w:rPr>
          <w:color w:val="000000"/>
        </w:rPr>
        <w:t xml:space="preserve">Keller, P. A. (1994). </w:t>
      </w:r>
      <w:r w:rsidRPr="00E7528A">
        <w:rPr>
          <w:i/>
          <w:color w:val="000000"/>
        </w:rPr>
        <w:t>Academic Paths.</w:t>
      </w:r>
      <w:r w:rsidRPr="00E7528A">
        <w:rPr>
          <w:color w:val="000000"/>
        </w:rPr>
        <w:t xml:space="preserve"> Lawrence Erlbaum Associates. Hillsdale, NJ.</w:t>
      </w:r>
    </w:p>
    <w:p w:rsidR="000D36FA" w:rsidRPr="00E7528A" w:rsidRDefault="000D36FA" w:rsidP="006E55F1">
      <w:pPr>
        <w:numPr>
          <w:ilvl w:val="0"/>
          <w:numId w:val="1"/>
        </w:numPr>
      </w:pPr>
      <w:r w:rsidRPr="00E7528A">
        <w:rPr>
          <w:color w:val="000000"/>
        </w:rPr>
        <w:t xml:space="preserve">Kosslyn, S. M. (2007). </w:t>
      </w:r>
      <w:r w:rsidRPr="00E7528A">
        <w:rPr>
          <w:i/>
          <w:color w:val="000000"/>
        </w:rPr>
        <w:t>Clear and to the point: 8 psychological principles for compelling powerpoint presentations</w:t>
      </w:r>
      <w:r w:rsidRPr="00E7528A">
        <w:rPr>
          <w:color w:val="000000"/>
        </w:rPr>
        <w:t>. Oxford Press.</w:t>
      </w:r>
    </w:p>
    <w:p w:rsidR="000D36FA" w:rsidRPr="00E7528A" w:rsidRDefault="000D36FA" w:rsidP="006E55F1">
      <w:pPr>
        <w:numPr>
          <w:ilvl w:val="0"/>
          <w:numId w:val="1"/>
        </w:numPr>
        <w:rPr>
          <w:color w:val="000000"/>
        </w:rPr>
      </w:pPr>
      <w:r w:rsidRPr="00E7528A">
        <w:rPr>
          <w:color w:val="000000"/>
        </w:rPr>
        <w:t xml:space="preserve">Newhouse, M. (1997) </w:t>
      </w:r>
      <w:r w:rsidRPr="00E7528A">
        <w:rPr>
          <w:i/>
          <w:color w:val="000000"/>
        </w:rPr>
        <w:t>Cracking the Academic Nut: A Guide to Preparing for Your Academic Career.</w:t>
      </w:r>
      <w:r w:rsidRPr="00E7528A">
        <w:rPr>
          <w:color w:val="000000"/>
        </w:rPr>
        <w:t xml:space="preserve"> Harvard College.</w:t>
      </w:r>
    </w:p>
    <w:p w:rsidR="000D36FA" w:rsidRPr="00E7528A" w:rsidRDefault="000D36FA" w:rsidP="006E55F1">
      <w:pPr>
        <w:numPr>
          <w:ilvl w:val="0"/>
          <w:numId w:val="1"/>
        </w:numPr>
      </w:pPr>
      <w:r w:rsidRPr="00E7528A">
        <w:rPr>
          <w:color w:val="000000"/>
        </w:rPr>
        <w:t xml:space="preserve">Newhouse, M. (1993). </w:t>
      </w:r>
      <w:r w:rsidRPr="00E7528A">
        <w:rPr>
          <w:i/>
          <w:color w:val="000000"/>
        </w:rPr>
        <w:t>Outside the lvory Tower: A Guide for Academics Considering Alternative Careers.</w:t>
      </w:r>
      <w:r w:rsidRPr="00E7528A">
        <w:rPr>
          <w:color w:val="000000"/>
        </w:rPr>
        <w:t xml:space="preserve"> Harvard College.</w:t>
      </w:r>
    </w:p>
    <w:p w:rsidR="000D36FA" w:rsidRPr="00E7528A" w:rsidRDefault="000D36FA" w:rsidP="006E55F1">
      <w:pPr>
        <w:numPr>
          <w:ilvl w:val="0"/>
          <w:numId w:val="1"/>
        </w:numPr>
      </w:pPr>
      <w:r w:rsidRPr="00E7528A">
        <w:t xml:space="preserve">Oetting, E. R. (1992). Ten fatal mistakes in grant writing. </w:t>
      </w:r>
      <w:r w:rsidRPr="00E7528A">
        <w:rPr>
          <w:lang w:val="it-IT"/>
        </w:rPr>
        <w:t xml:space="preserve">In A. E. Kazdin (Ed.). </w:t>
      </w:r>
      <w:r w:rsidRPr="00E7528A">
        <w:rPr>
          <w:i/>
        </w:rPr>
        <w:t>Methodological issues and strategies in clinical research</w:t>
      </w:r>
      <w:r w:rsidRPr="00E7528A">
        <w:t xml:space="preserve"> (p. 739-748). Washington, D. C.: American Psychological Association.</w:t>
      </w:r>
    </w:p>
    <w:p w:rsidR="000D36FA" w:rsidRPr="00E7528A" w:rsidRDefault="000D36FA" w:rsidP="006E55F1">
      <w:pPr>
        <w:numPr>
          <w:ilvl w:val="0"/>
          <w:numId w:val="1"/>
        </w:numPr>
      </w:pPr>
      <w:r w:rsidRPr="00E7528A">
        <w:rPr>
          <w:color w:val="000000"/>
        </w:rPr>
        <w:t>On Being a Scientist: Responsible Conduct in Research. National Academy Press, Washington DC, 1995.</w:t>
      </w:r>
    </w:p>
    <w:p w:rsidR="000D36FA" w:rsidRPr="00E7528A" w:rsidRDefault="000D36FA" w:rsidP="006E55F1">
      <w:pPr>
        <w:numPr>
          <w:ilvl w:val="0"/>
          <w:numId w:val="1"/>
        </w:numPr>
      </w:pPr>
      <w:r w:rsidRPr="00E7528A">
        <w:t xml:space="preserve">Perlman, B., McCann, L. I., &amp; McFadden, S. H. (Eds.). (2002). </w:t>
      </w:r>
      <w:r w:rsidRPr="00E7528A">
        <w:rPr>
          <w:i/>
        </w:rPr>
        <w:t>Lessons learned: Practical advice for the teaching of psychology</w:t>
      </w:r>
      <w:r w:rsidRPr="00E7528A">
        <w:t>. Washington, D.C.: American Psychological Association.</w:t>
      </w:r>
    </w:p>
    <w:p w:rsidR="000D36FA" w:rsidRPr="00E7528A" w:rsidRDefault="000D36FA" w:rsidP="006E55F1">
      <w:pPr>
        <w:numPr>
          <w:ilvl w:val="0"/>
          <w:numId w:val="1"/>
        </w:numPr>
      </w:pPr>
      <w:r w:rsidRPr="00E7528A">
        <w:t xml:space="preserve">Rheingold, H. L. (1994). </w:t>
      </w:r>
      <w:r w:rsidRPr="00E7528A">
        <w:rPr>
          <w:i/>
        </w:rPr>
        <w:t>The psychologist’s guide to an academic career.</w:t>
      </w:r>
      <w:r w:rsidRPr="00E7528A">
        <w:t xml:space="preserve"> Washington, D. C.: American Psychological Association.</w:t>
      </w:r>
    </w:p>
    <w:p w:rsidR="000D36FA" w:rsidRPr="00E7528A" w:rsidRDefault="000D36FA" w:rsidP="006E55F1">
      <w:pPr>
        <w:numPr>
          <w:ilvl w:val="0"/>
          <w:numId w:val="1"/>
        </w:numPr>
      </w:pPr>
      <w:r w:rsidRPr="00E7528A">
        <w:t xml:space="preserve">Smith, D. (2003a). Five principles for research ethics. </w:t>
      </w:r>
      <w:r w:rsidRPr="00E7528A">
        <w:rPr>
          <w:i/>
        </w:rPr>
        <w:t>APA Monitor, 34</w:t>
      </w:r>
      <w:r w:rsidRPr="00E7528A">
        <w:t xml:space="preserve"> (1), 56-60.</w:t>
      </w:r>
    </w:p>
    <w:p w:rsidR="000D36FA" w:rsidRPr="00E7528A" w:rsidRDefault="000D36FA" w:rsidP="006E55F1">
      <w:pPr>
        <w:numPr>
          <w:ilvl w:val="0"/>
          <w:numId w:val="1"/>
        </w:numPr>
      </w:pPr>
      <w:r w:rsidRPr="00E7528A">
        <w:t xml:space="preserve">Smith, D. (2003b). What you need to know about the new code. </w:t>
      </w:r>
      <w:r w:rsidRPr="00E7528A">
        <w:rPr>
          <w:i/>
        </w:rPr>
        <w:t>APA Monitor, 34</w:t>
      </w:r>
      <w:r w:rsidRPr="00E7528A">
        <w:t xml:space="preserve"> (1), 62-65. Available online at </w:t>
      </w:r>
      <w:hyperlink r:id="rId15" w:history="1">
        <w:r w:rsidRPr="00E7528A">
          <w:rPr>
            <w:rStyle w:val="Hyperlink"/>
            <w:color w:val="auto"/>
          </w:rPr>
          <w:t>http://www.apa.org/monitor/jan03/newcode.html</w:t>
        </w:r>
      </w:hyperlink>
    </w:p>
    <w:p w:rsidR="00CF1518" w:rsidRPr="00E7528A" w:rsidRDefault="00CF1518" w:rsidP="00CF1518">
      <w:pPr>
        <w:numPr>
          <w:ilvl w:val="0"/>
          <w:numId w:val="1"/>
        </w:numPr>
      </w:pPr>
      <w:r w:rsidRPr="00E7528A">
        <w:t>Sparrowe, R. T., &amp; Mayer, K. J. (2011). Publishing in AMJ-Part 4: Grounding hypotheses. Academy of Management Journal, 54, 1098-1102.  http://journals. aomonline.org/amj/editorials/FTE-Grounding.pdf</w:t>
      </w:r>
    </w:p>
    <w:p w:rsidR="000D36FA" w:rsidRPr="00E7528A" w:rsidRDefault="000D36FA" w:rsidP="006E55F1">
      <w:pPr>
        <w:numPr>
          <w:ilvl w:val="0"/>
          <w:numId w:val="1"/>
        </w:numPr>
      </w:pPr>
      <w:r w:rsidRPr="00E7528A">
        <w:t xml:space="preserve">Sternberg, R. J. (2000). </w:t>
      </w:r>
      <w:r w:rsidRPr="00E7528A">
        <w:rPr>
          <w:i/>
        </w:rPr>
        <w:t>Guide to publishing in psychology journals</w:t>
      </w:r>
      <w:r w:rsidRPr="00E7528A">
        <w:t>. Cambridge, U.K.: Cambridge University Press.</w:t>
      </w:r>
    </w:p>
    <w:p w:rsidR="000D36FA" w:rsidRPr="00E7528A" w:rsidRDefault="000D36FA" w:rsidP="006E55F1">
      <w:pPr>
        <w:numPr>
          <w:ilvl w:val="0"/>
          <w:numId w:val="1"/>
        </w:numPr>
        <w:rPr>
          <w:color w:val="000000"/>
        </w:rPr>
      </w:pPr>
      <w:r w:rsidRPr="00E7528A">
        <w:rPr>
          <w:i/>
          <w:color w:val="000000"/>
        </w:rPr>
        <w:t>Surviving and Thriving in Academia: A Guide for Women and Ethnic Minorities</w:t>
      </w:r>
      <w:r w:rsidRPr="00E7528A">
        <w:rPr>
          <w:color w:val="000000"/>
        </w:rPr>
        <w:t>. American Psychological Association, 1998.</w:t>
      </w:r>
    </w:p>
    <w:p w:rsidR="00CF1518" w:rsidRPr="00E7528A" w:rsidRDefault="00CF1518" w:rsidP="00CF1518">
      <w:pPr>
        <w:numPr>
          <w:ilvl w:val="0"/>
          <w:numId w:val="1"/>
        </w:numPr>
      </w:pPr>
      <w:r w:rsidRPr="00E7528A">
        <w:t>Zhang, Y., &amp; Shaw, J. D. (2012). Publishing in AMJ-Part 5: Crafting the methods and results. Academy of Management Journal, 55, 8-12.  http://journals. aomonline.org/amj/editorials/FTE-Crating.pdf</w:t>
      </w:r>
    </w:p>
    <w:p w:rsidR="000D36FA" w:rsidRPr="00E7528A" w:rsidRDefault="000D36FA" w:rsidP="000D36FA"/>
    <w:p w:rsidR="000D36FA" w:rsidRPr="00E7528A" w:rsidRDefault="000D36FA" w:rsidP="000D36FA">
      <w:pPr>
        <w:rPr>
          <w:b/>
        </w:rPr>
      </w:pPr>
      <w:r w:rsidRPr="00E7528A">
        <w:rPr>
          <w:b/>
        </w:rPr>
        <w:t>C</w:t>
      </w:r>
      <w:r w:rsidR="00804F05" w:rsidRPr="00E7528A">
        <w:rPr>
          <w:b/>
        </w:rPr>
        <w:t>OURSE REQUIREMENTS/ASSIGNMENTS/ACTIVITIES</w:t>
      </w:r>
    </w:p>
    <w:p w:rsidR="000D36FA" w:rsidRPr="00E7528A" w:rsidRDefault="000D36FA">
      <w:pPr>
        <w:rPr>
          <w:b/>
        </w:rPr>
      </w:pPr>
    </w:p>
    <w:p w:rsidR="000D36FA" w:rsidRPr="00E7528A" w:rsidRDefault="000D36FA">
      <w:pPr>
        <w:rPr>
          <w:b/>
        </w:rPr>
      </w:pPr>
      <w:r w:rsidRPr="00E7528A">
        <w:rPr>
          <w:b/>
        </w:rPr>
        <w:t>Assignments</w:t>
      </w:r>
    </w:p>
    <w:p w:rsidR="000D36FA" w:rsidRPr="00E7528A" w:rsidRDefault="000D36FA">
      <w:r w:rsidRPr="00E7528A">
        <w:t xml:space="preserve">A </w:t>
      </w:r>
      <w:r w:rsidRPr="00E7528A">
        <w:rPr>
          <w:i/>
        </w:rPr>
        <w:t>tentative</w:t>
      </w:r>
      <w:r w:rsidRPr="00E7528A">
        <w:t xml:space="preserve"> listing of reading and project assignments is shown in the schedule below. Readings should be read </w:t>
      </w:r>
      <w:r w:rsidRPr="00E7528A">
        <w:rPr>
          <w:i/>
        </w:rPr>
        <w:t>before</w:t>
      </w:r>
      <w:r w:rsidRPr="00E7528A">
        <w:t xml:space="preserve"> class the week they are listed. Descriptions of the weekly projects will be </w:t>
      </w:r>
      <w:r w:rsidR="00776084" w:rsidRPr="00E7528A">
        <w:t>discussed in class</w:t>
      </w:r>
      <w:r w:rsidRPr="00E7528A">
        <w:t xml:space="preserve">, along with due dates (generally, assignments will be due at the next class meeting). </w:t>
      </w:r>
      <w:r w:rsidR="00776084" w:rsidRPr="00E7528A">
        <w:t xml:space="preserve">Due dates may vary from the syllabus depending on how long lectures run. </w:t>
      </w:r>
      <w:r w:rsidR="009A5F2D" w:rsidRPr="00E7528A">
        <w:t xml:space="preserve">Assignments should be turned in </w:t>
      </w:r>
      <w:r w:rsidR="009A5F2D" w:rsidRPr="00E7528A">
        <w:rPr>
          <w:b/>
        </w:rPr>
        <w:t>on paper</w:t>
      </w:r>
      <w:r w:rsidR="009A5F2D" w:rsidRPr="00E7528A">
        <w:t xml:space="preserve"> the day they are due in class unless it is a discussion board item. </w:t>
      </w:r>
      <w:r w:rsidRPr="00E7528A">
        <w:t>Assignments will be graded on a satisfactory/not satisfactory basis.</w:t>
      </w:r>
    </w:p>
    <w:p w:rsidR="000D36FA" w:rsidRPr="00E7528A" w:rsidRDefault="000D36FA"/>
    <w:p w:rsidR="000D36FA" w:rsidRPr="00E7528A" w:rsidRDefault="000D36FA" w:rsidP="000D36FA">
      <w:pPr>
        <w:rPr>
          <w:b/>
        </w:rPr>
      </w:pPr>
      <w:r w:rsidRPr="00E7528A">
        <w:rPr>
          <w:b/>
        </w:rPr>
        <w:t>Final Exam</w:t>
      </w:r>
    </w:p>
    <w:p w:rsidR="000D36FA" w:rsidRPr="00E7528A" w:rsidRDefault="000D36FA" w:rsidP="000D36FA">
      <w:r w:rsidRPr="00E7528A">
        <w:t xml:space="preserve">There will be no final exam for this class. </w:t>
      </w:r>
    </w:p>
    <w:p w:rsidR="000D36FA" w:rsidRPr="00E7528A" w:rsidRDefault="000D36FA" w:rsidP="000D36FA">
      <w:pPr>
        <w:rPr>
          <w:b/>
        </w:rPr>
      </w:pPr>
    </w:p>
    <w:p w:rsidR="000D36FA" w:rsidRPr="00E7528A" w:rsidRDefault="000D36FA" w:rsidP="000D36FA">
      <w:pPr>
        <w:rPr>
          <w:b/>
        </w:rPr>
      </w:pPr>
      <w:r w:rsidRPr="00E7528A">
        <w:rPr>
          <w:b/>
        </w:rPr>
        <w:t>Attendance</w:t>
      </w:r>
    </w:p>
    <w:p w:rsidR="000D36FA" w:rsidRPr="00E7528A" w:rsidRDefault="000D36FA" w:rsidP="000D36FA">
      <w:r w:rsidRPr="00E7528A">
        <w:t xml:space="preserve">You are responsible for all information from each class meeting, including dates when </w:t>
      </w:r>
      <w:r w:rsidR="000E7239" w:rsidRPr="00E7528A">
        <w:t>assignments</w:t>
      </w:r>
      <w:r w:rsidRPr="00E7528A">
        <w:t xml:space="preserve"> are due, information not contained in the text, etc. If you miss a class, you should borrow notes from a classmate and/or download the slides and assignments from </w:t>
      </w:r>
      <w:r w:rsidR="00776084" w:rsidRPr="00E7528A">
        <w:t>Blackboard</w:t>
      </w:r>
      <w:r w:rsidRPr="00E7528A">
        <w:t xml:space="preserve">. </w:t>
      </w:r>
      <w:r w:rsidR="000E7239" w:rsidRPr="00E7528A">
        <w:t>More than one</w:t>
      </w:r>
      <w:r w:rsidRPr="00E7528A">
        <w:t xml:space="preserve"> </w:t>
      </w:r>
      <w:r w:rsidR="000E7239" w:rsidRPr="00E7528A">
        <w:t xml:space="preserve">undocumented </w:t>
      </w:r>
      <w:r w:rsidRPr="00E7528A">
        <w:t>absence from the class will constitute grounds for an unsatisfactory grade in the class.</w:t>
      </w:r>
    </w:p>
    <w:p w:rsidR="000D36FA" w:rsidRPr="00E7528A" w:rsidRDefault="000D36FA" w:rsidP="000D36FA"/>
    <w:p w:rsidR="0067477F" w:rsidRPr="00E7528A" w:rsidRDefault="0067477F" w:rsidP="000D36FA">
      <w:pPr>
        <w:rPr>
          <w:b/>
        </w:rPr>
      </w:pPr>
      <w:r w:rsidRPr="00E7528A">
        <w:rPr>
          <w:b/>
        </w:rPr>
        <w:t>Class Cancellation</w:t>
      </w:r>
    </w:p>
    <w:p w:rsidR="0067477F" w:rsidRPr="00E7528A" w:rsidRDefault="0067477F" w:rsidP="000D36FA">
      <w:r w:rsidRPr="00E7528A">
        <w:t>In the event that the instructor cannot make it to class (e.g., due to illness), he will email class members to notify you of the cancelation. In the event that the university cancels classes (e.g., for weather), the instructor assumes that you will receive this notification by email, text, or checking either the university website or the information line (703-993-1000).  Missed classes will be made up through online lectures and/or exercises. They will be made available on Blackboard and students will receive notification when they are uploaded by email.</w:t>
      </w:r>
    </w:p>
    <w:p w:rsidR="0067477F" w:rsidRPr="00E7528A" w:rsidRDefault="0067477F" w:rsidP="000D36FA"/>
    <w:p w:rsidR="000D36FA" w:rsidRPr="00E7528A" w:rsidRDefault="000D36FA" w:rsidP="000D36FA">
      <w:pPr>
        <w:rPr>
          <w:b/>
        </w:rPr>
      </w:pPr>
      <w:r w:rsidRPr="00E7528A">
        <w:rPr>
          <w:b/>
        </w:rPr>
        <w:t>Electronic Distribution of Course Information:</w:t>
      </w:r>
    </w:p>
    <w:p w:rsidR="000D36FA" w:rsidRPr="00E7528A" w:rsidRDefault="000D36FA" w:rsidP="000D36FA">
      <w:r w:rsidRPr="00E7528A">
        <w:lastRenderedPageBreak/>
        <w:t xml:space="preserve">On-line materials for this class can be accessed through </w:t>
      </w:r>
      <w:r w:rsidR="00776084" w:rsidRPr="00E7528A">
        <w:t>Blackboard</w:t>
      </w:r>
      <w:r w:rsidRPr="00E7528A">
        <w:t xml:space="preserve"> (</w:t>
      </w:r>
      <w:r w:rsidRPr="00E7528A">
        <w:rPr>
          <w:u w:val="single" w:color="006633"/>
        </w:rPr>
        <w:t>http://courses.gmu.edu</w:t>
      </w:r>
      <w:r w:rsidRPr="00E7528A">
        <w:t xml:space="preserve">). Course materials and handouts are/will be available from this website. Such materials include, but are not limited to, the syllabus, copies of the Powerpoint slides used in class, additional class readings, guidelines/instructions for assignments, and class discussions. </w:t>
      </w:r>
    </w:p>
    <w:p w:rsidR="00E9592F" w:rsidRPr="00E7528A" w:rsidRDefault="00E9592F" w:rsidP="000D36FA">
      <w:pPr>
        <w:rPr>
          <w:b/>
        </w:rPr>
      </w:pPr>
    </w:p>
    <w:p w:rsidR="000D36FA" w:rsidRPr="00E7528A" w:rsidRDefault="000D36FA" w:rsidP="000D36FA">
      <w:pPr>
        <w:rPr>
          <w:b/>
        </w:rPr>
      </w:pPr>
      <w:r w:rsidRPr="00E7528A">
        <w:rPr>
          <w:b/>
        </w:rPr>
        <w:t>Grading Policy</w:t>
      </w:r>
    </w:p>
    <w:p w:rsidR="000D36FA" w:rsidRPr="00E7528A" w:rsidRDefault="000D36FA" w:rsidP="000D36FA">
      <w:r w:rsidRPr="00E7528A">
        <w:rPr>
          <w:bCs/>
        </w:rPr>
        <w:t xml:space="preserve">This is a small graduate seminar that requires active discussion and contribution from each member of the class. The course will be enhanced greatly if we can all benefit from each individual student’s ideas, questions, suggestions, and expertise. </w:t>
      </w:r>
      <w:r w:rsidR="00E7528A" w:rsidRPr="00E7528A">
        <w:rPr>
          <w:bCs/>
        </w:rPr>
        <w:t>While you will receive a grade for this course, it’s essentially a pass/fail</w:t>
      </w:r>
      <w:r w:rsidRPr="00E7528A">
        <w:rPr>
          <w:bCs/>
        </w:rPr>
        <w:t>.</w:t>
      </w:r>
      <w:r w:rsidR="00E7528A" w:rsidRPr="00E7528A">
        <w:rPr>
          <w:bCs/>
        </w:rPr>
        <w:t xml:space="preserve"> If you pass, you get an A. If you fail, you get a C. I don’t anticipate circumstances where students can somehow fall in the middle. </w:t>
      </w:r>
      <w:r w:rsidRPr="00E7528A">
        <w:rPr>
          <w:bCs/>
        </w:rPr>
        <w:t xml:space="preserve"> </w:t>
      </w:r>
      <w:r w:rsidR="00E7528A" w:rsidRPr="00E7528A">
        <w:rPr>
          <w:bCs/>
        </w:rPr>
        <w:t>Show up, be engaged, ask questions, talk about what you like and don’t like, etc</w:t>
      </w:r>
      <w:r w:rsidRPr="00E7528A">
        <w:rPr>
          <w:bCs/>
        </w:rPr>
        <w:t>.</w:t>
      </w:r>
      <w:r w:rsidRPr="00E7528A">
        <w:t xml:space="preserve"> </w:t>
      </w:r>
      <w:r w:rsidR="00E7528A" w:rsidRPr="00E7528A">
        <w:t>Note that m</w:t>
      </w:r>
      <w:r w:rsidR="00DC6626" w:rsidRPr="00E7528A">
        <w:t>ore than one absence from any given module in the class will constitute grounds for an unsatisfactory grade in the class.</w:t>
      </w:r>
    </w:p>
    <w:p w:rsidR="008F16F5" w:rsidRPr="00E7528A" w:rsidRDefault="008F16F5" w:rsidP="000D36FA">
      <w:pPr>
        <w:rPr>
          <w:b/>
        </w:rPr>
      </w:pPr>
    </w:p>
    <w:p w:rsidR="00E7528A" w:rsidRPr="00E7528A" w:rsidRDefault="00E7528A" w:rsidP="00E7528A">
      <w:pPr>
        <w:rPr>
          <w:b/>
        </w:rPr>
      </w:pPr>
      <w:r w:rsidRPr="00E7528A">
        <w:rPr>
          <w:b/>
          <w:i/>
        </w:rPr>
        <w:t>University Honor policy</w:t>
      </w:r>
      <w:r w:rsidRPr="00E7528A">
        <w:rPr>
          <w:b/>
        </w:rPr>
        <w:t xml:space="preserve">: </w:t>
      </w:r>
    </w:p>
    <w:p w:rsidR="00E7528A" w:rsidRPr="00E7528A" w:rsidRDefault="00E7528A" w:rsidP="00E7528A">
      <w:pPr>
        <w:autoSpaceDE w:val="0"/>
        <w:autoSpaceDN w:val="0"/>
        <w:adjustRightInd w:val="0"/>
      </w:pPr>
      <w:r w:rsidRPr="00E7528A">
        <w:rPr>
          <w:b/>
          <w:bCs/>
          <w:i/>
          <w:iCs/>
          <w:u w:val="single"/>
        </w:rPr>
        <w:t>Academic dishonesty in any form will not be tolerated</w:t>
      </w:r>
      <w:r w:rsidRPr="00E7528A">
        <w:rPr>
          <w:i/>
          <w:iCs/>
        </w:rPr>
        <w:t xml:space="preserve">.  </w:t>
      </w:r>
      <w:r w:rsidRPr="00E7528A">
        <w:t>I will deal with academic dishonesty in accordance with George Mason University’s Student Code of Conduct. I recommend that you familiarize yourself with the policies set forth by GMU. The instructor for this course reserves the right to enter a failing grade to any student found guilty of an honor code violation.</w:t>
      </w:r>
    </w:p>
    <w:p w:rsidR="000D36FA" w:rsidRPr="00E7528A" w:rsidRDefault="000D36FA" w:rsidP="000D36FA"/>
    <w:p w:rsidR="00E7528A" w:rsidRPr="0083029B" w:rsidRDefault="00E7528A" w:rsidP="00E7528A">
      <w:pPr>
        <w:rPr>
          <w:b/>
        </w:rPr>
      </w:pPr>
      <w:r w:rsidRPr="0083029B">
        <w:rPr>
          <w:b/>
          <w:i/>
        </w:rPr>
        <w:t>Special needs</w:t>
      </w:r>
      <w:r w:rsidRPr="0083029B">
        <w:rPr>
          <w:b/>
        </w:rPr>
        <w:t>:</w:t>
      </w:r>
    </w:p>
    <w:p w:rsidR="00E7528A" w:rsidRPr="0083029B" w:rsidRDefault="00E7528A" w:rsidP="00E7528A">
      <w:r w:rsidRPr="0083029B">
        <w:t>Every effort will be made to accommodate students with a disability or special needs.  If you are a student with a disability and you need academic accommodations, please both myself and contact the Disability Resource Center (DRC) at 703-993-2474.  All academic accommodations must be arranged through that office.</w:t>
      </w:r>
    </w:p>
    <w:p w:rsidR="000D36FA" w:rsidRPr="00E7528A" w:rsidRDefault="000D36FA" w:rsidP="000D36FA"/>
    <w:p w:rsidR="00DC6626" w:rsidRPr="00E7528A" w:rsidRDefault="00DC6626">
      <w:pPr>
        <w:rPr>
          <w:color w:val="000000"/>
          <w:sz w:val="22"/>
          <w:szCs w:val="22"/>
        </w:rPr>
      </w:pPr>
    </w:p>
    <w:p w:rsidR="00DC6626" w:rsidRPr="00E7528A" w:rsidRDefault="007374C9" w:rsidP="00DC6626">
      <w:pPr>
        <w:tabs>
          <w:tab w:val="right" w:pos="9630"/>
        </w:tabs>
        <w:rPr>
          <w:rFonts w:eastAsia="Arial Unicode MS"/>
        </w:rPr>
      </w:pPr>
      <w:r w:rsidRPr="00E7528A">
        <w:rPr>
          <w:rFonts w:eastAsia="Arial Unicode MS"/>
          <w:b/>
        </w:rPr>
        <w:br w:type="page"/>
      </w:r>
      <w:r w:rsidR="00DC6626" w:rsidRPr="00E7528A">
        <w:rPr>
          <w:rFonts w:eastAsia="Arial Unicode MS"/>
          <w:b/>
        </w:rPr>
        <w:lastRenderedPageBreak/>
        <w:t>Course Schedule</w:t>
      </w:r>
    </w:p>
    <w:p w:rsidR="00867927" w:rsidRDefault="00DC6626" w:rsidP="00867927">
      <w:pPr>
        <w:rPr>
          <w:rFonts w:eastAsia="Arial Unicode MS"/>
        </w:rPr>
      </w:pPr>
      <w:r w:rsidRPr="00E7528A">
        <w:rPr>
          <w:rFonts w:eastAsia="Arial Unicode MS"/>
        </w:rPr>
        <w:t xml:space="preserve">Topics, readings, and </w:t>
      </w:r>
      <w:r w:rsidRPr="00E7528A">
        <w:rPr>
          <w:rFonts w:eastAsia="Arial Unicode MS"/>
          <w:i/>
        </w:rPr>
        <w:t>assignments</w:t>
      </w:r>
      <w:r w:rsidRPr="00E7528A">
        <w:rPr>
          <w:rFonts w:eastAsia="Arial Unicode MS"/>
        </w:rPr>
        <w:t xml:space="preserve"> </w:t>
      </w:r>
      <w:r w:rsidRPr="00E7528A">
        <w:rPr>
          <w:rFonts w:eastAsia="Arial Unicode MS"/>
          <w:b/>
        </w:rPr>
        <w:t>tentatively</w:t>
      </w:r>
      <w:r w:rsidRPr="00E7528A">
        <w:rPr>
          <w:rFonts w:eastAsia="Arial Unicode MS"/>
        </w:rPr>
        <w:t xml:space="preserve"> follow the schedule below. Due dates for class assignments will not change, but dates for seminar topics might. </w:t>
      </w:r>
      <w:r w:rsidRPr="00E7528A">
        <w:rPr>
          <w:rFonts w:eastAsia="Arial Unicode MS"/>
          <w:i/>
        </w:rPr>
        <w:t>All assignments are due at the beginning of class on the due date</w:t>
      </w:r>
      <w:r w:rsidRPr="00E7528A">
        <w:rPr>
          <w:rFonts w:eastAsia="Arial Unicode MS"/>
        </w:rPr>
        <w:t xml:space="preserve">. Extensions will not be granted. Five percent will be deducted for every day an assignment is late. </w:t>
      </w:r>
    </w:p>
    <w:p w:rsidR="006625AA" w:rsidRDefault="006625AA" w:rsidP="00867927">
      <w:pPr>
        <w:rPr>
          <w:rFonts w:eastAsia="Arial Unicode MS"/>
        </w:rPr>
      </w:pPr>
    </w:p>
    <w:p w:rsidR="006625AA" w:rsidRDefault="006625AA" w:rsidP="006625AA">
      <w:r w:rsidRPr="0083029B">
        <w:rPr>
          <w:b/>
          <w:i/>
        </w:rPr>
        <w:t>Important Dates</w:t>
      </w:r>
      <w:r>
        <w:t>:</w:t>
      </w:r>
    </w:p>
    <w:p w:rsidR="006625AA" w:rsidRPr="00141F55" w:rsidRDefault="006625AA" w:rsidP="006625AA">
      <w:r>
        <w:t xml:space="preserve">Fall </w:t>
      </w:r>
      <w:r>
        <w:rPr>
          <w:b/>
          <w:bCs/>
        </w:rPr>
        <w:t>session start/end</w:t>
      </w:r>
      <w:r w:rsidRPr="0083029B">
        <w:rPr>
          <w:b/>
          <w:bCs/>
        </w:rPr>
        <w:t xml:space="preserve">: </w:t>
      </w:r>
      <w:r>
        <w:rPr>
          <w:b/>
          <w:bCs/>
        </w:rPr>
        <w:t>August 26 – December 7, 2019</w:t>
      </w:r>
    </w:p>
    <w:p w:rsidR="006625AA" w:rsidRPr="0083029B" w:rsidRDefault="006625AA" w:rsidP="006625AA">
      <w:pPr>
        <w:autoSpaceDE w:val="0"/>
        <w:autoSpaceDN w:val="0"/>
        <w:adjustRightInd w:val="0"/>
        <w:rPr>
          <w:b/>
          <w:bCs/>
        </w:rPr>
      </w:pPr>
      <w:r w:rsidRPr="0083029B">
        <w:rPr>
          <w:b/>
          <w:bCs/>
        </w:rPr>
        <w:t xml:space="preserve">Final exam: </w:t>
      </w:r>
      <w:r>
        <w:rPr>
          <w:b/>
          <w:bCs/>
        </w:rPr>
        <w:t>TBD</w:t>
      </w:r>
    </w:p>
    <w:p w:rsidR="006625AA" w:rsidRPr="0083029B" w:rsidRDefault="006625AA" w:rsidP="006625AA">
      <w:pPr>
        <w:autoSpaceDE w:val="0"/>
        <w:autoSpaceDN w:val="0"/>
        <w:adjustRightInd w:val="0"/>
        <w:rPr>
          <w:b/>
          <w:bCs/>
        </w:rPr>
      </w:pPr>
      <w:r w:rsidRPr="0083029B">
        <w:rPr>
          <w:b/>
          <w:bCs/>
        </w:rPr>
        <w:t xml:space="preserve">Last Day to Add- </w:t>
      </w:r>
      <w:r>
        <w:rPr>
          <w:b/>
          <w:bCs/>
        </w:rPr>
        <w:t>September 3</w:t>
      </w:r>
    </w:p>
    <w:p w:rsidR="006625AA" w:rsidRPr="0083029B" w:rsidRDefault="006625AA" w:rsidP="006625AA">
      <w:pPr>
        <w:autoSpaceDE w:val="0"/>
        <w:autoSpaceDN w:val="0"/>
        <w:adjustRightInd w:val="0"/>
        <w:rPr>
          <w:b/>
          <w:bCs/>
        </w:rPr>
      </w:pPr>
      <w:r w:rsidRPr="0083029B">
        <w:rPr>
          <w:b/>
          <w:bCs/>
        </w:rPr>
        <w:t xml:space="preserve">Last Day to Drop without penalty- </w:t>
      </w:r>
      <w:r>
        <w:rPr>
          <w:b/>
          <w:bCs/>
        </w:rPr>
        <w:t>September 9</w:t>
      </w:r>
    </w:p>
    <w:p w:rsidR="006625AA" w:rsidRPr="00E7528A" w:rsidRDefault="006625AA" w:rsidP="00867927">
      <w:pPr>
        <w:rPr>
          <w:rFonts w:eastAsia="Arial Unicode MS"/>
        </w:rPr>
      </w:pPr>
    </w:p>
    <w:p w:rsidR="004116A0" w:rsidRPr="00E7528A" w:rsidRDefault="004116A0" w:rsidP="00867927">
      <w:pPr>
        <w:rPr>
          <w:rFonts w:eastAsia="Arial Unicode MS"/>
        </w:rPr>
      </w:pPr>
    </w:p>
    <w:p w:rsidR="00934494" w:rsidRPr="00E7528A" w:rsidRDefault="00934494" w:rsidP="00934494">
      <w:pPr>
        <w:spacing w:after="120"/>
        <w:ind w:left="720"/>
      </w:pPr>
      <w:r w:rsidRPr="00E7528A">
        <w:tab/>
        <w:t xml:space="preserve"> </w:t>
      </w:r>
    </w:p>
    <w:p w:rsidR="007A4FF9" w:rsidRPr="00E7528A" w:rsidRDefault="007A4FF9">
      <w:pPr>
        <w:rPr>
          <w:sz w:val="22"/>
          <w:szCs w:val="22"/>
        </w:rPr>
      </w:pPr>
    </w:p>
    <w:sectPr w:rsidR="007A4FF9" w:rsidRPr="00E7528A" w:rsidSect="004116A0">
      <w:footerReference w:type="even" r:id="rId16"/>
      <w:footerReference w:type="default" r:id="rId17"/>
      <w:type w:val="continuous"/>
      <w:pgSz w:w="12240" w:h="15840"/>
      <w:pgMar w:top="1296"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AA" w:rsidRDefault="008B76AA">
      <w:r>
        <w:separator/>
      </w:r>
    </w:p>
  </w:endnote>
  <w:endnote w:type="continuationSeparator" w:id="1">
    <w:p w:rsidR="008B76AA" w:rsidRDefault="008B7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17" w:rsidRDefault="00E65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5A17" w:rsidRDefault="00E65A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17" w:rsidRDefault="00E65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835">
      <w:rPr>
        <w:rStyle w:val="PageNumber"/>
        <w:noProof/>
      </w:rPr>
      <w:t>2</w:t>
    </w:r>
    <w:r>
      <w:rPr>
        <w:rStyle w:val="PageNumber"/>
      </w:rPr>
      <w:fldChar w:fldCharType="end"/>
    </w:r>
  </w:p>
  <w:p w:rsidR="00E65A17" w:rsidRDefault="00E65A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AA" w:rsidRDefault="008B76AA">
      <w:r>
        <w:separator/>
      </w:r>
    </w:p>
  </w:footnote>
  <w:footnote w:type="continuationSeparator" w:id="1">
    <w:p w:rsidR="008B76AA" w:rsidRDefault="008B7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734"/>
    <w:multiLevelType w:val="hybridMultilevel"/>
    <w:tmpl w:val="B3FE97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287FD9"/>
    <w:multiLevelType w:val="hybridMultilevel"/>
    <w:tmpl w:val="0D98FA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7743B3B"/>
    <w:multiLevelType w:val="hybridMultilevel"/>
    <w:tmpl w:val="B1942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F447BDC"/>
    <w:multiLevelType w:val="hybridMultilevel"/>
    <w:tmpl w:val="0484B1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FD65338"/>
    <w:multiLevelType w:val="hybridMultilevel"/>
    <w:tmpl w:val="2CE81350"/>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BE75A4"/>
    <w:multiLevelType w:val="hybridMultilevel"/>
    <w:tmpl w:val="BF1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1757"/>
    <w:multiLevelType w:val="hybridMultilevel"/>
    <w:tmpl w:val="3634B3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1E37283"/>
    <w:multiLevelType w:val="hybridMultilevel"/>
    <w:tmpl w:val="932EF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321015"/>
    <w:multiLevelType w:val="hybridMultilevel"/>
    <w:tmpl w:val="EA28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C085B"/>
    <w:multiLevelType w:val="hybridMultilevel"/>
    <w:tmpl w:val="7E3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F4C2B"/>
    <w:multiLevelType w:val="hybridMultilevel"/>
    <w:tmpl w:val="9E4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4675A"/>
    <w:multiLevelType w:val="hybridMultilevel"/>
    <w:tmpl w:val="50B6C91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A185C"/>
    <w:multiLevelType w:val="hybridMultilevel"/>
    <w:tmpl w:val="6B8C4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2B00784"/>
    <w:multiLevelType w:val="hybridMultilevel"/>
    <w:tmpl w:val="5E8822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3"/>
  </w:num>
  <w:num w:numId="4">
    <w:abstractNumId w:val="3"/>
  </w:num>
  <w:num w:numId="5">
    <w:abstractNumId w:val="0"/>
  </w:num>
  <w:num w:numId="6">
    <w:abstractNumId w:val="7"/>
  </w:num>
  <w:num w:numId="7">
    <w:abstractNumId w:val="1"/>
  </w:num>
  <w:num w:numId="8">
    <w:abstractNumId w:val="6"/>
  </w:num>
  <w:num w:numId="9">
    <w:abstractNumId w:val="2"/>
  </w:num>
  <w:num w:numId="10">
    <w:abstractNumId w:val="10"/>
  </w:num>
  <w:num w:numId="11">
    <w:abstractNumId w:val="9"/>
  </w:num>
  <w:num w:numId="12">
    <w:abstractNumId w:val="5"/>
  </w:num>
  <w:num w:numId="13">
    <w:abstractNumId w:val="11"/>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47A90"/>
    <w:rsid w:val="00035CF4"/>
    <w:rsid w:val="000707F1"/>
    <w:rsid w:val="000747E1"/>
    <w:rsid w:val="000D36FA"/>
    <w:rsid w:val="000E647F"/>
    <w:rsid w:val="000E7239"/>
    <w:rsid w:val="000F2D6E"/>
    <w:rsid w:val="000F32C4"/>
    <w:rsid w:val="00120A62"/>
    <w:rsid w:val="001361AF"/>
    <w:rsid w:val="00166341"/>
    <w:rsid w:val="00176504"/>
    <w:rsid w:val="00176766"/>
    <w:rsid w:val="001A09F8"/>
    <w:rsid w:val="001A71CC"/>
    <w:rsid w:val="001D247C"/>
    <w:rsid w:val="001E1E95"/>
    <w:rsid w:val="001F0F5B"/>
    <w:rsid w:val="001F36A1"/>
    <w:rsid w:val="001F4CEB"/>
    <w:rsid w:val="001F5AE8"/>
    <w:rsid w:val="00217419"/>
    <w:rsid w:val="002537BE"/>
    <w:rsid w:val="0025499B"/>
    <w:rsid w:val="003634AE"/>
    <w:rsid w:val="00363D9E"/>
    <w:rsid w:val="00364B83"/>
    <w:rsid w:val="003775DB"/>
    <w:rsid w:val="003833BC"/>
    <w:rsid w:val="003A006D"/>
    <w:rsid w:val="003D3195"/>
    <w:rsid w:val="004116A0"/>
    <w:rsid w:val="00417C11"/>
    <w:rsid w:val="004258F7"/>
    <w:rsid w:val="00425F29"/>
    <w:rsid w:val="004B576C"/>
    <w:rsid w:val="004D2A15"/>
    <w:rsid w:val="004D4865"/>
    <w:rsid w:val="004E3E72"/>
    <w:rsid w:val="005009E8"/>
    <w:rsid w:val="0057120F"/>
    <w:rsid w:val="005936CA"/>
    <w:rsid w:val="00594EAB"/>
    <w:rsid w:val="005B77BB"/>
    <w:rsid w:val="005F6E02"/>
    <w:rsid w:val="006314B3"/>
    <w:rsid w:val="006625AA"/>
    <w:rsid w:val="0067477F"/>
    <w:rsid w:val="0069579C"/>
    <w:rsid w:val="006A6666"/>
    <w:rsid w:val="006E54E3"/>
    <w:rsid w:val="006E55F1"/>
    <w:rsid w:val="006F2602"/>
    <w:rsid w:val="006F43EE"/>
    <w:rsid w:val="007155E7"/>
    <w:rsid w:val="007374C9"/>
    <w:rsid w:val="00741661"/>
    <w:rsid w:val="00776084"/>
    <w:rsid w:val="007A4FF9"/>
    <w:rsid w:val="00804F05"/>
    <w:rsid w:val="008466FF"/>
    <w:rsid w:val="00847A90"/>
    <w:rsid w:val="00867927"/>
    <w:rsid w:val="008B17F1"/>
    <w:rsid w:val="008B2EBC"/>
    <w:rsid w:val="008B76AA"/>
    <w:rsid w:val="008E594C"/>
    <w:rsid w:val="008E6561"/>
    <w:rsid w:val="008E7C41"/>
    <w:rsid w:val="008F16F5"/>
    <w:rsid w:val="008F487E"/>
    <w:rsid w:val="00934494"/>
    <w:rsid w:val="00943EA1"/>
    <w:rsid w:val="00956DDE"/>
    <w:rsid w:val="00974ADA"/>
    <w:rsid w:val="009A4662"/>
    <w:rsid w:val="009A5F2D"/>
    <w:rsid w:val="009C712C"/>
    <w:rsid w:val="009F5E13"/>
    <w:rsid w:val="00A13F48"/>
    <w:rsid w:val="00A34E89"/>
    <w:rsid w:val="00A91CF3"/>
    <w:rsid w:val="00AB2999"/>
    <w:rsid w:val="00B1374E"/>
    <w:rsid w:val="00B94359"/>
    <w:rsid w:val="00B96E6E"/>
    <w:rsid w:val="00BA2224"/>
    <w:rsid w:val="00BA3482"/>
    <w:rsid w:val="00BD3A13"/>
    <w:rsid w:val="00BE40E5"/>
    <w:rsid w:val="00BF181D"/>
    <w:rsid w:val="00BF4DA4"/>
    <w:rsid w:val="00C26233"/>
    <w:rsid w:val="00C3040F"/>
    <w:rsid w:val="00C45EE9"/>
    <w:rsid w:val="00C64E13"/>
    <w:rsid w:val="00C66564"/>
    <w:rsid w:val="00CA1057"/>
    <w:rsid w:val="00CA4F48"/>
    <w:rsid w:val="00CF1518"/>
    <w:rsid w:val="00DC167B"/>
    <w:rsid w:val="00DC6626"/>
    <w:rsid w:val="00E34C01"/>
    <w:rsid w:val="00E65A17"/>
    <w:rsid w:val="00E7528A"/>
    <w:rsid w:val="00E9592F"/>
    <w:rsid w:val="00E969F4"/>
    <w:rsid w:val="00EB1BCE"/>
    <w:rsid w:val="00EF69EA"/>
    <w:rsid w:val="00F11566"/>
    <w:rsid w:val="00F35DE7"/>
    <w:rsid w:val="00F60155"/>
    <w:rsid w:val="00F76548"/>
    <w:rsid w:val="00FA7AF5"/>
    <w:rsid w:val="00FB4E3A"/>
    <w:rsid w:val="00FB7637"/>
    <w:rsid w:val="00FC2C5C"/>
    <w:rsid w:val="00FD0835"/>
    <w:rsid w:val="00FE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564"/>
  </w:style>
  <w:style w:type="paragraph" w:styleId="Heading1">
    <w:name w:val="heading 1"/>
    <w:basedOn w:val="Normal"/>
    <w:next w:val="Normal"/>
    <w:qFormat/>
    <w:rsid w:val="00C66564"/>
    <w:pPr>
      <w:keepNext/>
      <w:outlineLvl w:val="0"/>
    </w:pPr>
    <w:rPr>
      <w:b/>
    </w:rPr>
  </w:style>
  <w:style w:type="paragraph" w:styleId="Heading2">
    <w:name w:val="heading 2"/>
    <w:basedOn w:val="Normal"/>
    <w:next w:val="Normal"/>
    <w:qFormat/>
    <w:rsid w:val="00C6656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564"/>
    <w:rPr>
      <w:color w:val="0000FF"/>
      <w:u w:val="single"/>
    </w:rPr>
  </w:style>
  <w:style w:type="paragraph" w:styleId="Footer">
    <w:name w:val="footer"/>
    <w:basedOn w:val="Normal"/>
    <w:rsid w:val="00C66564"/>
    <w:pPr>
      <w:tabs>
        <w:tab w:val="center" w:pos="4320"/>
        <w:tab w:val="right" w:pos="8640"/>
      </w:tabs>
    </w:pPr>
  </w:style>
  <w:style w:type="character" w:styleId="PageNumber">
    <w:name w:val="page number"/>
    <w:basedOn w:val="DefaultParagraphFont"/>
    <w:rsid w:val="00C66564"/>
  </w:style>
  <w:style w:type="paragraph" w:styleId="BodyTextIndent">
    <w:name w:val="Body Text Indent"/>
    <w:basedOn w:val="Normal"/>
    <w:rsid w:val="00C66564"/>
    <w:pPr>
      <w:ind w:left="1440"/>
    </w:pPr>
  </w:style>
  <w:style w:type="paragraph" w:styleId="BodyText">
    <w:name w:val="Body Text"/>
    <w:basedOn w:val="Normal"/>
    <w:rsid w:val="00C66564"/>
    <w:rPr>
      <w:color w:val="33CCCC"/>
    </w:rPr>
  </w:style>
  <w:style w:type="paragraph" w:styleId="BodyTextIndent2">
    <w:name w:val="Body Text Indent 2"/>
    <w:basedOn w:val="Normal"/>
    <w:rsid w:val="00C66564"/>
  </w:style>
  <w:style w:type="paragraph" w:styleId="BalloonText">
    <w:name w:val="Balloon Text"/>
    <w:basedOn w:val="Normal"/>
    <w:semiHidden/>
    <w:rsid w:val="00FC48D9"/>
    <w:rPr>
      <w:rFonts w:ascii="Tahoma" w:hAnsi="Tahoma" w:cs="Tahoma"/>
      <w:sz w:val="16"/>
      <w:szCs w:val="16"/>
    </w:rPr>
  </w:style>
  <w:style w:type="table" w:styleId="TableGrid">
    <w:name w:val="Table Grid"/>
    <w:basedOn w:val="TableNormal"/>
    <w:rsid w:val="00DC5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358A2"/>
    <w:rPr>
      <w:color w:val="800080"/>
      <w:u w:val="single"/>
    </w:rPr>
  </w:style>
  <w:style w:type="paragraph" w:styleId="Date">
    <w:name w:val="Date"/>
    <w:basedOn w:val="Normal"/>
    <w:next w:val="Normal"/>
    <w:rsid w:val="00A66372"/>
  </w:style>
  <w:style w:type="character" w:styleId="CommentReference">
    <w:name w:val="annotation reference"/>
    <w:semiHidden/>
    <w:rsid w:val="00922B16"/>
    <w:rPr>
      <w:sz w:val="18"/>
    </w:rPr>
  </w:style>
  <w:style w:type="paragraph" w:styleId="CommentText">
    <w:name w:val="annotation text"/>
    <w:basedOn w:val="Normal"/>
    <w:semiHidden/>
    <w:rsid w:val="00922B16"/>
    <w:rPr>
      <w:sz w:val="24"/>
      <w:szCs w:val="24"/>
    </w:rPr>
  </w:style>
  <w:style w:type="paragraph" w:styleId="CommentSubject">
    <w:name w:val="annotation subject"/>
    <w:basedOn w:val="CommentText"/>
    <w:next w:val="CommentText"/>
    <w:semiHidden/>
    <w:rsid w:val="00922B16"/>
    <w:rPr>
      <w:sz w:val="20"/>
      <w:szCs w:val="20"/>
    </w:rPr>
  </w:style>
  <w:style w:type="paragraph" w:styleId="Header">
    <w:name w:val="header"/>
    <w:basedOn w:val="Normal"/>
    <w:link w:val="HeaderChar"/>
    <w:rsid w:val="004116A0"/>
    <w:pPr>
      <w:tabs>
        <w:tab w:val="center" w:pos="4680"/>
        <w:tab w:val="right" w:pos="9360"/>
      </w:tabs>
    </w:pPr>
  </w:style>
  <w:style w:type="character" w:customStyle="1" w:styleId="HeaderChar">
    <w:name w:val="Header Char"/>
    <w:basedOn w:val="DefaultParagraphFont"/>
    <w:link w:val="Header"/>
    <w:rsid w:val="004116A0"/>
  </w:style>
</w:styles>
</file>

<file path=word/webSettings.xml><?xml version="1.0" encoding="utf-8"?>
<w:webSettings xmlns:r="http://schemas.openxmlformats.org/officeDocument/2006/relationships" xmlns:w="http://schemas.openxmlformats.org/wordprocessingml/2006/main">
  <w:divs>
    <w:div w:id="6840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ethics/code.html)" TargetMode="External"/><Relationship Id="rId13" Type="http://schemas.openxmlformats.org/officeDocument/2006/relationships/hyperlink" Target="http://mobile.ethicist.aom.org/uploadedFiles/Publications/AMJ/FTE-Implica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haw4@gmu.edu*" TargetMode="External"/><Relationship Id="rId12" Type="http://schemas.openxmlformats.org/officeDocument/2006/relationships/hyperlink" Target="https://www.amazon.com/How-Write-Lot-Practical-Productive/dp/15914774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k=The+Exceptional+Presenter%3A+A+Proven+Formula+to+Open+up+and+Own+the+Room&amp;i=stripbooks&amp;ref=nb_sb_noss" TargetMode="External"/><Relationship Id="rId5" Type="http://schemas.openxmlformats.org/officeDocument/2006/relationships/footnotes" Target="footnotes.xml"/><Relationship Id="rId15" Type="http://schemas.openxmlformats.org/officeDocument/2006/relationships/hyperlink" Target="http://www.apa.org/monitor/jan03/newcode.html" TargetMode="External"/><Relationship Id="rId10" Type="http://schemas.openxmlformats.org/officeDocument/2006/relationships/hyperlink" Target="http://chronicle.com/article/How-to-Write-an-Anonymous-Peer/1314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ronicle.com/article/The-5-Species-of-Journal/130016/" TargetMode="External"/><Relationship Id="rId14" Type="http://schemas.openxmlformats.org/officeDocument/2006/relationships/hyperlink" Target="http://journla.aomonline.org/amj/editorials/FTE-SettingTheH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1955</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August 30</vt:lpstr>
    </vt:vector>
  </TitlesOfParts>
  <Company>George Mason University</Company>
  <LinksUpToDate>false</LinksUpToDate>
  <CharactersWithSpaces>10924</CharactersWithSpaces>
  <SharedDoc>false</SharedDoc>
  <HLinks>
    <vt:vector size="54" baseType="variant">
      <vt:variant>
        <vt:i4>5898321</vt:i4>
      </vt:variant>
      <vt:variant>
        <vt:i4>24</vt:i4>
      </vt:variant>
      <vt:variant>
        <vt:i4>0</vt:i4>
      </vt:variant>
      <vt:variant>
        <vt:i4>5</vt:i4>
      </vt:variant>
      <vt:variant>
        <vt:lpwstr>http://library.gmu.edu/onebutton</vt:lpwstr>
      </vt:variant>
      <vt:variant>
        <vt:lpwstr/>
      </vt:variant>
      <vt:variant>
        <vt:i4>3014696</vt:i4>
      </vt:variant>
      <vt:variant>
        <vt:i4>21</vt:i4>
      </vt:variant>
      <vt:variant>
        <vt:i4>0</vt:i4>
      </vt:variant>
      <vt:variant>
        <vt:i4>5</vt:i4>
      </vt:variant>
      <vt:variant>
        <vt:lpwstr>http://catalog.gmu.edu/content.php?catoid=29&amp;navoid=6196&amp;hl=honor+code&amp;returnto=search</vt:lpwstr>
      </vt:variant>
      <vt:variant>
        <vt:lpwstr/>
      </vt:variant>
      <vt:variant>
        <vt:i4>458835</vt:i4>
      </vt:variant>
      <vt:variant>
        <vt:i4>18</vt:i4>
      </vt:variant>
      <vt:variant>
        <vt:i4>0</vt:i4>
      </vt:variant>
      <vt:variant>
        <vt:i4>5</vt:i4>
      </vt:variant>
      <vt:variant>
        <vt:lpwstr>http://www.apa.org/monitor/jan03/newcode.html</vt:lpwstr>
      </vt:variant>
      <vt:variant>
        <vt:lpwstr/>
      </vt:variant>
      <vt:variant>
        <vt:i4>3801146</vt:i4>
      </vt:variant>
      <vt:variant>
        <vt:i4>15</vt:i4>
      </vt:variant>
      <vt:variant>
        <vt:i4>0</vt:i4>
      </vt:variant>
      <vt:variant>
        <vt:i4>5</vt:i4>
      </vt:variant>
      <vt:variant>
        <vt:lpwstr>http://journla.aomonline.org/amj/editorials/FTE-SettingTheHook.pdf</vt:lpwstr>
      </vt:variant>
      <vt:variant>
        <vt:lpwstr/>
      </vt:variant>
      <vt:variant>
        <vt:i4>3342399</vt:i4>
      </vt:variant>
      <vt:variant>
        <vt:i4>12</vt:i4>
      </vt:variant>
      <vt:variant>
        <vt:i4>0</vt:i4>
      </vt:variant>
      <vt:variant>
        <vt:i4>5</vt:i4>
      </vt:variant>
      <vt:variant>
        <vt:lpwstr>http://mobile.ethicist.aom.org/uploadedFiles/Publications/AMJ/FTE-Implications.pdf</vt:lpwstr>
      </vt:variant>
      <vt:variant>
        <vt:lpwstr/>
      </vt:variant>
      <vt:variant>
        <vt:i4>3080242</vt:i4>
      </vt:variant>
      <vt:variant>
        <vt:i4>9</vt:i4>
      </vt:variant>
      <vt:variant>
        <vt:i4>0</vt:i4>
      </vt:variant>
      <vt:variant>
        <vt:i4>5</vt:i4>
      </vt:variant>
      <vt:variant>
        <vt:lpwstr>http://chronicle.com/article/How-to-Write-an-Anonymous-Peer/131475</vt:lpwstr>
      </vt:variant>
      <vt:variant>
        <vt:lpwstr/>
      </vt:variant>
      <vt:variant>
        <vt:i4>4390981</vt:i4>
      </vt:variant>
      <vt:variant>
        <vt:i4>6</vt:i4>
      </vt:variant>
      <vt:variant>
        <vt:i4>0</vt:i4>
      </vt:variant>
      <vt:variant>
        <vt:i4>5</vt:i4>
      </vt:variant>
      <vt:variant>
        <vt:lpwstr>http://chronicle.com/article/The-5-Species-of-Journal/130016/</vt:lpwstr>
      </vt:variant>
      <vt:variant>
        <vt:lpwstr/>
      </vt:variant>
      <vt:variant>
        <vt:i4>4456460</vt:i4>
      </vt:variant>
      <vt:variant>
        <vt:i4>3</vt:i4>
      </vt:variant>
      <vt:variant>
        <vt:i4>0</vt:i4>
      </vt:variant>
      <vt:variant>
        <vt:i4>5</vt:i4>
      </vt:variant>
      <vt:variant>
        <vt:lpwstr>http://www.apa.org/ethics/code.html)</vt:lpwstr>
      </vt:variant>
      <vt:variant>
        <vt:lpwstr/>
      </vt:variant>
      <vt:variant>
        <vt:i4>6619207</vt:i4>
      </vt:variant>
      <vt:variant>
        <vt:i4>0</vt:i4>
      </vt:variant>
      <vt:variant>
        <vt:i4>0</vt:i4>
      </vt:variant>
      <vt:variant>
        <vt:i4>5</vt:i4>
      </vt:variant>
      <vt:variant>
        <vt:lpwstr>mailto:dbdavis@gmu.edu*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dc:title>
  <dc:creator>Deborah A. Boehm-Davis</dc:creator>
  <cp:lastModifiedBy>Tyler shaw</cp:lastModifiedBy>
  <cp:revision>3</cp:revision>
  <cp:lastPrinted>2015-08-30T17:11:00Z</cp:lastPrinted>
  <dcterms:created xsi:type="dcterms:W3CDTF">2019-08-24T21:39:00Z</dcterms:created>
  <dcterms:modified xsi:type="dcterms:W3CDTF">2019-08-28T02:48:00Z</dcterms:modified>
</cp:coreProperties>
</file>