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45" w:rsidRDefault="005852BE">
      <w:pPr>
        <w:spacing w:before="79"/>
        <w:ind w:left="100"/>
      </w:pPr>
      <w:bookmarkStart w:id="0" w:name="_GoBack"/>
      <w:bookmarkEnd w:id="0"/>
      <w:r>
        <w:t>CRIM 460-001</w:t>
      </w:r>
      <w:r w:rsidR="00760ADF">
        <w:t xml:space="preserve"> – Fall </w:t>
      </w:r>
      <w:r w:rsidR="0033221A">
        <w:t>2019</w:t>
      </w:r>
    </w:p>
    <w:p w:rsidR="00050E45" w:rsidRDefault="00050E45">
      <w:pPr>
        <w:pStyle w:val="BodyText"/>
        <w:spacing w:before="6"/>
        <w:rPr>
          <w:sz w:val="35"/>
        </w:rPr>
      </w:pPr>
    </w:p>
    <w:p w:rsidR="005852BE" w:rsidRDefault="005852BE">
      <w:pPr>
        <w:pStyle w:val="BodyText"/>
        <w:spacing w:before="6"/>
        <w:rPr>
          <w:sz w:val="35"/>
        </w:rPr>
      </w:pPr>
      <w:r>
        <w:rPr>
          <w:sz w:val="35"/>
        </w:rPr>
        <w:t>Professor Kaufman</w:t>
      </w:r>
    </w:p>
    <w:p w:rsidR="005852BE" w:rsidRDefault="00A21E71">
      <w:pPr>
        <w:pStyle w:val="BodyText"/>
        <w:spacing w:before="6"/>
        <w:rPr>
          <w:sz w:val="35"/>
        </w:rPr>
      </w:pPr>
      <w:hyperlink r:id="rId5" w:history="1">
        <w:r w:rsidR="005852BE" w:rsidRPr="00CE5F33">
          <w:rPr>
            <w:rStyle w:val="Hyperlink"/>
            <w:sz w:val="35"/>
          </w:rPr>
          <w:t>skaufma@gmu.edu</w:t>
        </w:r>
      </w:hyperlink>
    </w:p>
    <w:p w:rsidR="005852BE" w:rsidRDefault="005852BE">
      <w:pPr>
        <w:pStyle w:val="BodyText"/>
        <w:spacing w:before="6"/>
        <w:rPr>
          <w:sz w:val="35"/>
        </w:rPr>
      </w:pPr>
    </w:p>
    <w:p w:rsidR="00050E45" w:rsidRDefault="0033221A">
      <w:pPr>
        <w:ind w:left="73" w:right="103"/>
        <w:jc w:val="center"/>
        <w:rPr>
          <w:b/>
          <w:sz w:val="32"/>
        </w:rPr>
      </w:pPr>
      <w:r>
        <w:rPr>
          <w:b/>
          <w:sz w:val="32"/>
        </w:rPr>
        <w:t>Surveillance and Privacy in Contemporary Society</w:t>
      </w:r>
    </w:p>
    <w:p w:rsidR="00050E45" w:rsidRDefault="0033221A">
      <w:pPr>
        <w:pStyle w:val="BodyText"/>
        <w:spacing w:before="12"/>
        <w:ind w:left="73" w:right="85"/>
        <w:jc w:val="center"/>
      </w:pPr>
      <w:r>
        <w:t>Course Syllabus</w:t>
      </w:r>
    </w:p>
    <w:p w:rsidR="00050E45" w:rsidRDefault="00050E45">
      <w:pPr>
        <w:pStyle w:val="BodyText"/>
        <w:spacing w:before="11"/>
        <w:rPr>
          <w:sz w:val="27"/>
        </w:rPr>
      </w:pPr>
    </w:p>
    <w:p w:rsidR="00050E45" w:rsidRDefault="0033221A">
      <w:pPr>
        <w:pStyle w:val="Heading1"/>
        <w:ind w:left="73" w:right="73"/>
        <w:jc w:val="center"/>
      </w:pPr>
      <w:r>
        <w:t>Class Schedule</w:t>
      </w:r>
    </w:p>
    <w:p w:rsidR="00050E45" w:rsidRDefault="0033221A">
      <w:pPr>
        <w:pStyle w:val="BodyText"/>
        <w:ind w:left="73" w:right="146"/>
        <w:jc w:val="center"/>
      </w:pPr>
      <w:r>
        <w:t>Thursdays from 7:20 pm to 10</w:t>
      </w:r>
      <w:r w:rsidR="005852BE">
        <w:t>:00 pm Planetary Hall 212 (formerly Science and Tech I)</w:t>
      </w:r>
    </w:p>
    <w:p w:rsidR="00050E45" w:rsidRDefault="00050E45">
      <w:pPr>
        <w:pStyle w:val="BodyText"/>
        <w:spacing w:before="11"/>
        <w:rPr>
          <w:sz w:val="27"/>
        </w:rPr>
      </w:pPr>
    </w:p>
    <w:p w:rsidR="00050E45" w:rsidRDefault="0033221A">
      <w:pPr>
        <w:pStyle w:val="Heading1"/>
        <w:spacing w:before="1"/>
        <w:ind w:left="73" w:right="73"/>
        <w:jc w:val="center"/>
      </w:pPr>
      <w:r>
        <w:t>Course Description</w:t>
      </w:r>
    </w:p>
    <w:p w:rsidR="00C03E1D" w:rsidRDefault="00AF1A81">
      <w:pPr>
        <w:pStyle w:val="BodyText"/>
        <w:ind w:left="100" w:right="94"/>
      </w:pPr>
      <w:r>
        <w:t>Alexa</w:t>
      </w:r>
      <w:r w:rsidR="00C03E1D">
        <w:t xml:space="preserve"> and S</w:t>
      </w:r>
      <w:r w:rsidR="00195E72">
        <w:t>i</w:t>
      </w:r>
      <w:r w:rsidR="00C03E1D">
        <w:t>ri are listening, Facebook and Google are monitoring,</w:t>
      </w:r>
      <w:r>
        <w:t xml:space="preserve"> Home Depot and Best Buy are tracking,</w:t>
      </w:r>
      <w:r w:rsidR="00C03E1D">
        <w:t xml:space="preserve"> and the Government is </w:t>
      </w:r>
      <w:r w:rsidR="00671BDE">
        <w:t>surveilling,</w:t>
      </w:r>
      <w:r w:rsidR="00C03E1D">
        <w:t xml:space="preserve"> recording</w:t>
      </w:r>
      <w:r w:rsidR="00671BDE">
        <w:t xml:space="preserve">, scanning, and </w:t>
      </w:r>
      <w:r w:rsidR="00FC2884">
        <w:t xml:space="preserve">data </w:t>
      </w:r>
      <w:r w:rsidR="00671BDE">
        <w:t>gathering</w:t>
      </w:r>
      <w:r w:rsidR="00C03E1D">
        <w:t xml:space="preserve">.  What would the </w:t>
      </w:r>
      <w:r w:rsidR="0033221A">
        <w:t xml:space="preserve">Founding Fathers of the United States </w:t>
      </w:r>
      <w:r w:rsidR="00C03E1D">
        <w:t>think</w:t>
      </w:r>
      <w:r w:rsidR="00FC2884">
        <w:t xml:space="preserve"> about these activities</w:t>
      </w:r>
      <w:r w:rsidR="00C03E1D">
        <w:t xml:space="preserve">?  </w:t>
      </w:r>
    </w:p>
    <w:p w:rsidR="00C03E1D" w:rsidRDefault="00C03E1D">
      <w:pPr>
        <w:pStyle w:val="BodyText"/>
        <w:ind w:left="100" w:right="94"/>
      </w:pPr>
    </w:p>
    <w:p w:rsidR="00050E45" w:rsidRDefault="007B4E52">
      <w:pPr>
        <w:pStyle w:val="BodyText"/>
        <w:ind w:left="100" w:right="94"/>
      </w:pPr>
      <w:r>
        <w:t xml:space="preserve">We will explore the </w:t>
      </w:r>
      <w:r w:rsidR="00054F0C">
        <w:t>balancing of</w:t>
      </w:r>
      <w:r w:rsidR="00527C5C">
        <w:t xml:space="preserve"> </w:t>
      </w:r>
      <w:r w:rsidR="0033221A">
        <w:t xml:space="preserve">necessary surveillance operations </w:t>
      </w:r>
      <w:r w:rsidR="00527C5C">
        <w:t xml:space="preserve">on the one hand </w:t>
      </w:r>
      <w:r w:rsidR="0033221A">
        <w:t xml:space="preserve">and what has become known as "privacy law" </w:t>
      </w:r>
      <w:r w:rsidR="00054F0C">
        <w:t>on the other.  The</w:t>
      </w:r>
      <w:r w:rsidR="00527C5C">
        <w:t xml:space="preserve"> balancing </w:t>
      </w:r>
      <w:r w:rsidR="00054F0C">
        <w:t xml:space="preserve">of these concepts is controversial in </w:t>
      </w:r>
      <w:r w:rsidR="005845DA">
        <w:t>law enforcement, intelli</w:t>
      </w:r>
      <w:r w:rsidR="0033221A">
        <w:t xml:space="preserve">gence collection, academic, legislative, and public circles. We will continue the debate here. We will </w:t>
      </w:r>
      <w:r w:rsidR="00054F0C">
        <w:t xml:space="preserve">also </w:t>
      </w:r>
      <w:r w:rsidR="0033221A">
        <w:t>explore the history of privacy, government and private surveilla</w:t>
      </w:r>
      <w:r w:rsidR="005845DA">
        <w:t>nce, governing statutes, opera</w:t>
      </w:r>
      <w:r w:rsidR="0033221A">
        <w:t>tional and technological tactics and limitations, institutional changes arising from contemporary controversies, and the impact of technology on public policy and perception.</w:t>
      </w:r>
      <w:r w:rsidR="00FC2884">
        <w:t xml:space="preserve">  Finally, we’ll follow all significant surveillance and privacy current events, including legislative proposals/enactments, court decisions, congressional testimony, speeches, etc. </w:t>
      </w:r>
    </w:p>
    <w:p w:rsidR="00050E45" w:rsidRDefault="00050E45">
      <w:pPr>
        <w:pStyle w:val="BodyText"/>
        <w:spacing w:before="7"/>
        <w:rPr>
          <w:sz w:val="27"/>
        </w:rPr>
      </w:pPr>
    </w:p>
    <w:p w:rsidR="00050E45" w:rsidRDefault="0033221A">
      <w:pPr>
        <w:pStyle w:val="Heading1"/>
        <w:ind w:left="73" w:right="73"/>
        <w:jc w:val="center"/>
      </w:pPr>
      <w:r>
        <w:t>Reading Material</w:t>
      </w:r>
    </w:p>
    <w:p w:rsidR="00050E45" w:rsidRDefault="0033221A">
      <w:pPr>
        <w:ind w:left="100" w:right="149"/>
        <w:rPr>
          <w:sz w:val="28"/>
        </w:rPr>
      </w:pPr>
      <w:r w:rsidRPr="00FC2884">
        <w:rPr>
          <w:i/>
          <w:sz w:val="28"/>
          <w:u w:val="single"/>
        </w:rPr>
        <w:t>Privacy, Law Enforcement, and National Security</w:t>
      </w:r>
      <w:r>
        <w:rPr>
          <w:i/>
          <w:sz w:val="28"/>
        </w:rPr>
        <w:t xml:space="preserve"> </w:t>
      </w:r>
      <w:r>
        <w:rPr>
          <w:sz w:val="28"/>
        </w:rPr>
        <w:t>(Second Edition) by Daniel J. Solove and Paul M. Schwartz, 2018</w:t>
      </w:r>
    </w:p>
    <w:p w:rsidR="00050E45" w:rsidRDefault="0033221A">
      <w:pPr>
        <w:pStyle w:val="BodyText"/>
        <w:spacing w:line="340" w:lineRule="exact"/>
        <w:ind w:left="100"/>
      </w:pPr>
      <w:r>
        <w:t>ISBN: 978-1-4548-9742-2</w:t>
      </w:r>
    </w:p>
    <w:p w:rsidR="00050E45" w:rsidRDefault="00050E45">
      <w:pPr>
        <w:pStyle w:val="BodyText"/>
        <w:spacing w:before="11"/>
        <w:rPr>
          <w:sz w:val="27"/>
        </w:rPr>
      </w:pPr>
    </w:p>
    <w:p w:rsidR="00050E45" w:rsidRDefault="0033221A">
      <w:pPr>
        <w:pStyle w:val="Heading1"/>
        <w:spacing w:before="1"/>
        <w:ind w:left="73" w:right="107"/>
        <w:jc w:val="center"/>
      </w:pPr>
      <w:r>
        <w:t>Course Policies</w:t>
      </w:r>
    </w:p>
    <w:p w:rsidR="00050E45" w:rsidRDefault="0033221A">
      <w:pPr>
        <w:spacing w:line="340" w:lineRule="exact"/>
        <w:ind w:left="100"/>
        <w:rPr>
          <w:b/>
          <w:sz w:val="28"/>
        </w:rPr>
      </w:pPr>
      <w:r>
        <w:rPr>
          <w:b/>
          <w:sz w:val="28"/>
        </w:rPr>
        <w:t>Electronics:</w:t>
      </w:r>
    </w:p>
    <w:p w:rsidR="00050E45" w:rsidRDefault="0033221A" w:rsidP="000E093C">
      <w:pPr>
        <w:pStyle w:val="BodyText"/>
        <w:ind w:left="100" w:right="198"/>
      </w:pPr>
      <w:r>
        <w:t xml:space="preserve">I encourage everyone to leave your personal electronic devices </w:t>
      </w:r>
      <w:r>
        <w:lastRenderedPageBreak/>
        <w:t xml:space="preserve">at home.  If you must bring them to class, they should remain in a silent or "do not </w:t>
      </w:r>
      <w:r w:rsidR="000E093C">
        <w:rPr>
          <w:spacing w:val="-3"/>
        </w:rPr>
        <w:t>dis</w:t>
      </w:r>
      <w:r>
        <w:t xml:space="preserve">turb" mode. </w:t>
      </w:r>
      <w:r w:rsidR="000E093C">
        <w:t xml:space="preserve">I do not want them to distract you from </w:t>
      </w:r>
      <w:r>
        <w:t>actively engag</w:t>
      </w:r>
      <w:r w:rsidR="000E093C">
        <w:t xml:space="preserve">ing in </w:t>
      </w:r>
      <w:r>
        <w:t>discussion</w:t>
      </w:r>
      <w:r w:rsidR="000E093C">
        <w:t>s and participation</w:t>
      </w:r>
      <w:r>
        <w:t xml:space="preserve">. I will provide all testable material prior to testing. </w:t>
      </w:r>
    </w:p>
    <w:p w:rsidR="000E093C" w:rsidRDefault="000E093C" w:rsidP="000E093C">
      <w:pPr>
        <w:pStyle w:val="BodyText"/>
        <w:ind w:left="100" w:right="198"/>
        <w:rPr>
          <w:sz w:val="27"/>
        </w:rPr>
      </w:pPr>
    </w:p>
    <w:p w:rsidR="00050E45" w:rsidRDefault="0033221A">
      <w:pPr>
        <w:pStyle w:val="Heading1"/>
      </w:pPr>
      <w:r>
        <w:t>The Honor Code:</w:t>
      </w:r>
    </w:p>
    <w:p w:rsidR="00050E45" w:rsidRDefault="0033221A">
      <w:pPr>
        <w:pStyle w:val="BodyText"/>
        <w:ind w:left="100" w:right="441"/>
        <w:jc w:val="both"/>
      </w:pPr>
      <w:r>
        <w:t>In accordance with the Mason Honor Code: student members of the GMU community pledge not to cheat, plagiarize, steal, or lie in matters related to academic work. I take this very seriously.</w:t>
      </w:r>
    </w:p>
    <w:p w:rsidR="00050E45" w:rsidRDefault="00050E45">
      <w:pPr>
        <w:pStyle w:val="BodyText"/>
        <w:spacing w:before="11"/>
        <w:rPr>
          <w:sz w:val="27"/>
        </w:rPr>
      </w:pPr>
    </w:p>
    <w:p w:rsidR="00050E45" w:rsidRDefault="0033221A">
      <w:pPr>
        <w:pStyle w:val="Heading1"/>
      </w:pPr>
      <w:r>
        <w:t>Accommodations for students with disabilities:</w:t>
      </w:r>
    </w:p>
    <w:p w:rsidR="00050E45" w:rsidRDefault="0033221A">
      <w:pPr>
        <w:pStyle w:val="BodyText"/>
        <w:ind w:left="100" w:right="430"/>
      </w:pPr>
      <w:r>
        <w:t xml:space="preserve">Should you need accommodations due to a disability or another reason, please consult the Office of Disability Services at (703) 993-2474 or </w:t>
      </w:r>
      <w:r>
        <w:rPr>
          <w:u w:val="single"/>
        </w:rPr>
        <w:t>ods.gmu.edu</w:t>
      </w:r>
      <w:r>
        <w:t>.</w:t>
      </w:r>
    </w:p>
    <w:p w:rsidR="00050E45" w:rsidRDefault="00050E45">
      <w:pPr>
        <w:pStyle w:val="BodyText"/>
        <w:spacing w:before="11"/>
        <w:rPr>
          <w:sz w:val="27"/>
        </w:rPr>
      </w:pPr>
    </w:p>
    <w:p w:rsidR="00050E45" w:rsidRDefault="0033221A">
      <w:pPr>
        <w:pStyle w:val="Heading1"/>
      </w:pPr>
      <w:r>
        <w:t>Grading:</w:t>
      </w:r>
    </w:p>
    <w:p w:rsidR="000E093C" w:rsidRDefault="0033221A">
      <w:pPr>
        <w:pStyle w:val="BodyText"/>
        <w:ind w:left="500" w:right="282" w:hanging="400"/>
      </w:pPr>
      <w:r>
        <w:t xml:space="preserve">Grades </w:t>
      </w:r>
      <w:r w:rsidR="000E093C">
        <w:t>will be determined based on four</w:t>
      </w:r>
      <w:r>
        <w:t xml:space="preserve"> components: </w:t>
      </w:r>
    </w:p>
    <w:p w:rsidR="000E093C" w:rsidRDefault="000E093C" w:rsidP="000E093C">
      <w:pPr>
        <w:pStyle w:val="BodyText"/>
        <w:ind w:left="500" w:right="282"/>
      </w:pPr>
    </w:p>
    <w:p w:rsidR="00050E45" w:rsidRDefault="0033221A" w:rsidP="000E093C">
      <w:pPr>
        <w:pStyle w:val="BodyText"/>
        <w:ind w:left="500" w:right="282"/>
      </w:pPr>
      <w:r w:rsidRPr="000E093C">
        <w:rPr>
          <w:u w:val="single"/>
        </w:rPr>
        <w:t>Attendance (Pass/Fail):</w:t>
      </w:r>
      <w:r>
        <w:t xml:space="preserve"> </w:t>
      </w:r>
      <w:r>
        <w:rPr>
          <w:spacing w:val="-6"/>
        </w:rPr>
        <w:t xml:space="preserve">You </w:t>
      </w:r>
      <w:r>
        <w:t>are allowed two absences during the semester and you are responsible for making up missed work and catching up on notes. Any absences beyond the</w:t>
      </w:r>
      <w:r>
        <w:rPr>
          <w:spacing w:val="-26"/>
        </w:rPr>
        <w:t xml:space="preserve"> </w:t>
      </w:r>
      <w:r>
        <w:t>two authorized are considered unexcused and each absence</w:t>
      </w:r>
      <w:r>
        <w:rPr>
          <w:spacing w:val="-16"/>
        </w:rPr>
        <w:t xml:space="preserve"> </w:t>
      </w:r>
      <w:r>
        <w:t>will</w:t>
      </w:r>
    </w:p>
    <w:p w:rsidR="00050E45" w:rsidRDefault="0033221A">
      <w:pPr>
        <w:pStyle w:val="BodyText"/>
        <w:ind w:left="500" w:right="94"/>
      </w:pPr>
      <w:r>
        <w:t>lower your grade by a third of a letter grade. (That is to say, if at the end of the semester your grades average to an A, on your third absence (two excused and one unexcused) you will receive an A- for your final grade; on your fourth absence you will drop to a B+, and so forth.)</w:t>
      </w:r>
    </w:p>
    <w:p w:rsidR="00050E45" w:rsidRDefault="00050E45">
      <w:pPr>
        <w:pStyle w:val="BodyText"/>
        <w:spacing w:before="9"/>
        <w:rPr>
          <w:sz w:val="27"/>
        </w:rPr>
      </w:pPr>
    </w:p>
    <w:p w:rsidR="00050E45" w:rsidRDefault="0033221A">
      <w:pPr>
        <w:pStyle w:val="BodyText"/>
        <w:ind w:left="500" w:right="198"/>
      </w:pPr>
      <w:r w:rsidRPr="000E093C">
        <w:rPr>
          <w:u w:val="single"/>
        </w:rPr>
        <w:t>Participation</w:t>
      </w:r>
      <w:r>
        <w:t xml:space="preserve"> (100 points): Your participation in class is para- mount for a successful semester. Not only is 20% of your grade dependent upon it, but everyone's learning experience will rely on your involvement. Meaningful participation includes, but is not limited to:</w:t>
      </w:r>
    </w:p>
    <w:p w:rsidR="00050E45" w:rsidRDefault="0033221A">
      <w:pPr>
        <w:pStyle w:val="ListParagraph"/>
        <w:numPr>
          <w:ilvl w:val="0"/>
          <w:numId w:val="1"/>
        </w:numPr>
        <w:tabs>
          <w:tab w:val="left" w:pos="860"/>
        </w:tabs>
        <w:spacing w:before="8"/>
        <w:ind w:right="690"/>
        <w:rPr>
          <w:sz w:val="28"/>
        </w:rPr>
      </w:pPr>
      <w:r>
        <w:rPr>
          <w:sz w:val="28"/>
        </w:rPr>
        <w:t xml:space="preserve">Arriving at class having completed the readings and </w:t>
      </w:r>
      <w:r>
        <w:rPr>
          <w:spacing w:val="3"/>
          <w:sz w:val="28"/>
        </w:rPr>
        <w:t xml:space="preserve">pre- </w:t>
      </w:r>
      <w:r>
        <w:rPr>
          <w:sz w:val="28"/>
        </w:rPr>
        <w:t>pared for</w:t>
      </w:r>
      <w:r>
        <w:rPr>
          <w:spacing w:val="-2"/>
          <w:sz w:val="28"/>
        </w:rPr>
        <w:t xml:space="preserve"> </w:t>
      </w:r>
      <w:r>
        <w:rPr>
          <w:sz w:val="28"/>
        </w:rPr>
        <w:t>discussion.</w:t>
      </w:r>
    </w:p>
    <w:p w:rsidR="00050E45" w:rsidRDefault="0033221A">
      <w:pPr>
        <w:pStyle w:val="ListParagraph"/>
        <w:numPr>
          <w:ilvl w:val="0"/>
          <w:numId w:val="1"/>
        </w:numPr>
        <w:tabs>
          <w:tab w:val="left" w:pos="860"/>
        </w:tabs>
        <w:ind w:right="919"/>
        <w:rPr>
          <w:sz w:val="28"/>
        </w:rPr>
      </w:pPr>
      <w:r>
        <w:rPr>
          <w:sz w:val="28"/>
        </w:rPr>
        <w:t>Full</w:t>
      </w:r>
      <w:r w:rsidR="00E67D4A">
        <w:rPr>
          <w:sz w:val="28"/>
        </w:rPr>
        <w:t>ing</w:t>
      </w:r>
      <w:r>
        <w:rPr>
          <w:sz w:val="28"/>
        </w:rPr>
        <w:t xml:space="preserve"> prepar</w:t>
      </w:r>
      <w:r w:rsidR="00E67D4A">
        <w:rPr>
          <w:sz w:val="28"/>
        </w:rPr>
        <w:t>ing and attending</w:t>
      </w:r>
      <w:r>
        <w:rPr>
          <w:sz w:val="28"/>
        </w:rPr>
        <w:t xml:space="preserve"> when assigned</w:t>
      </w:r>
      <w:r>
        <w:rPr>
          <w:spacing w:val="-21"/>
          <w:sz w:val="28"/>
        </w:rPr>
        <w:t xml:space="preserve"> </w:t>
      </w:r>
      <w:r>
        <w:rPr>
          <w:sz w:val="28"/>
        </w:rPr>
        <w:t>specific readings.</w:t>
      </w:r>
    </w:p>
    <w:p w:rsidR="00050E45" w:rsidRDefault="0033221A">
      <w:pPr>
        <w:pStyle w:val="ListParagraph"/>
        <w:numPr>
          <w:ilvl w:val="0"/>
          <w:numId w:val="1"/>
        </w:numPr>
        <w:tabs>
          <w:tab w:val="left" w:pos="860"/>
        </w:tabs>
        <w:spacing w:before="73" w:line="353" w:lineRule="exact"/>
        <w:rPr>
          <w:sz w:val="28"/>
        </w:rPr>
      </w:pPr>
      <w:r>
        <w:rPr>
          <w:sz w:val="28"/>
        </w:rPr>
        <w:t>Listening attentively to others during the</w:t>
      </w:r>
      <w:r>
        <w:rPr>
          <w:spacing w:val="-9"/>
          <w:sz w:val="28"/>
        </w:rPr>
        <w:t xml:space="preserve"> </w:t>
      </w:r>
      <w:r>
        <w:rPr>
          <w:sz w:val="28"/>
        </w:rPr>
        <w:t>discussions.</w:t>
      </w:r>
    </w:p>
    <w:p w:rsidR="00050E45" w:rsidRDefault="0033221A">
      <w:pPr>
        <w:pStyle w:val="ListParagraph"/>
        <w:numPr>
          <w:ilvl w:val="0"/>
          <w:numId w:val="1"/>
        </w:numPr>
        <w:tabs>
          <w:tab w:val="left" w:pos="860"/>
        </w:tabs>
        <w:rPr>
          <w:sz w:val="28"/>
        </w:rPr>
      </w:pPr>
      <w:r>
        <w:rPr>
          <w:sz w:val="28"/>
        </w:rPr>
        <w:t>Contributing your insights to discussions</w:t>
      </w:r>
      <w:r>
        <w:rPr>
          <w:spacing w:val="-6"/>
          <w:sz w:val="28"/>
        </w:rPr>
        <w:t xml:space="preserve"> </w:t>
      </w:r>
      <w:r>
        <w:rPr>
          <w:spacing w:val="-3"/>
          <w:sz w:val="28"/>
        </w:rPr>
        <w:t>frequently.</w:t>
      </w:r>
    </w:p>
    <w:p w:rsidR="00050E45" w:rsidRDefault="0033221A">
      <w:pPr>
        <w:pStyle w:val="ListParagraph"/>
        <w:numPr>
          <w:ilvl w:val="0"/>
          <w:numId w:val="1"/>
        </w:numPr>
        <w:tabs>
          <w:tab w:val="left" w:pos="860"/>
        </w:tabs>
        <w:spacing w:line="240" w:lineRule="auto"/>
        <w:ind w:right="659"/>
        <w:rPr>
          <w:sz w:val="28"/>
        </w:rPr>
      </w:pPr>
      <w:r>
        <w:rPr>
          <w:sz w:val="28"/>
        </w:rPr>
        <w:t>Creating a welcoming atmosphere for everyone and</w:t>
      </w:r>
      <w:r>
        <w:rPr>
          <w:spacing w:val="-17"/>
          <w:sz w:val="28"/>
        </w:rPr>
        <w:t xml:space="preserve"> </w:t>
      </w:r>
      <w:r>
        <w:rPr>
          <w:sz w:val="28"/>
        </w:rPr>
        <w:t>their views.</w:t>
      </w:r>
    </w:p>
    <w:p w:rsidR="00050E45" w:rsidRDefault="00E67D4A">
      <w:pPr>
        <w:pStyle w:val="ListParagraph"/>
        <w:numPr>
          <w:ilvl w:val="0"/>
          <w:numId w:val="1"/>
        </w:numPr>
        <w:tabs>
          <w:tab w:val="left" w:pos="860"/>
        </w:tabs>
        <w:rPr>
          <w:sz w:val="28"/>
        </w:rPr>
      </w:pPr>
      <w:r>
        <w:rPr>
          <w:sz w:val="28"/>
        </w:rPr>
        <w:t xml:space="preserve">Monitoring </w:t>
      </w:r>
      <w:r w:rsidR="000E093C">
        <w:rPr>
          <w:sz w:val="28"/>
        </w:rPr>
        <w:t xml:space="preserve">all current events involving surveillance and </w:t>
      </w:r>
      <w:r w:rsidR="000E093C">
        <w:rPr>
          <w:sz w:val="28"/>
        </w:rPr>
        <w:lastRenderedPageBreak/>
        <w:t>privacy</w:t>
      </w:r>
      <w:r w:rsidR="0033221A">
        <w:rPr>
          <w:sz w:val="28"/>
        </w:rPr>
        <w:t>.</w:t>
      </w:r>
    </w:p>
    <w:p w:rsidR="00050E45" w:rsidRDefault="00050E45">
      <w:pPr>
        <w:pStyle w:val="BodyText"/>
        <w:spacing w:before="11"/>
        <w:rPr>
          <w:sz w:val="26"/>
        </w:rPr>
      </w:pPr>
    </w:p>
    <w:p w:rsidR="00FC2884" w:rsidRDefault="0033221A">
      <w:pPr>
        <w:pStyle w:val="BodyText"/>
        <w:ind w:left="500"/>
      </w:pPr>
      <w:r w:rsidRPr="000E093C">
        <w:rPr>
          <w:u w:val="single"/>
        </w:rPr>
        <w:t>Midterm Exam</w:t>
      </w:r>
      <w:r>
        <w:t xml:space="preserve"> (150 points): An in-person exam based on all materials covered in class and in the assigned reading (up until that point), including but not limited to class discussions, </w:t>
      </w:r>
    </w:p>
    <w:p w:rsidR="00050E45" w:rsidRDefault="0033221A">
      <w:pPr>
        <w:pStyle w:val="BodyText"/>
        <w:ind w:left="500"/>
      </w:pPr>
      <w:r>
        <w:t>readings, and guest lectures.</w:t>
      </w:r>
    </w:p>
    <w:p w:rsidR="00050E45" w:rsidRDefault="00050E45">
      <w:pPr>
        <w:pStyle w:val="BodyText"/>
        <w:spacing w:before="11"/>
        <w:rPr>
          <w:sz w:val="27"/>
        </w:rPr>
      </w:pPr>
    </w:p>
    <w:p w:rsidR="00050E45" w:rsidRDefault="0033221A">
      <w:pPr>
        <w:pStyle w:val="BodyText"/>
        <w:ind w:left="500" w:right="235"/>
      </w:pPr>
      <w:r w:rsidRPr="000E093C">
        <w:rPr>
          <w:u w:val="single"/>
        </w:rPr>
        <w:t>Final Exam</w:t>
      </w:r>
      <w:r>
        <w:t xml:space="preserve"> (250 points): An in-person exam based on all the materials covered in class and assigned readings since the be- ginning of the semester.</w:t>
      </w:r>
    </w:p>
    <w:p w:rsidR="00050E45" w:rsidRDefault="00050E45">
      <w:pPr>
        <w:pStyle w:val="BodyText"/>
        <w:spacing w:before="11"/>
        <w:rPr>
          <w:sz w:val="27"/>
        </w:rPr>
      </w:pPr>
    </w:p>
    <w:p w:rsidR="00050E45" w:rsidRDefault="0033221A">
      <w:pPr>
        <w:pStyle w:val="BodyText"/>
        <w:spacing w:after="13"/>
        <w:ind w:left="500"/>
      </w:pPr>
      <w:r>
        <w:t>Grading Scale:</w:t>
      </w:r>
    </w:p>
    <w:tbl>
      <w:tblPr>
        <w:tblW w:w="0" w:type="auto"/>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117"/>
        <w:gridCol w:w="3117"/>
        <w:gridCol w:w="3118"/>
      </w:tblGrid>
      <w:tr w:rsidR="00050E45">
        <w:trPr>
          <w:trHeight w:val="445"/>
        </w:trPr>
        <w:tc>
          <w:tcPr>
            <w:tcW w:w="3117" w:type="dxa"/>
          </w:tcPr>
          <w:p w:rsidR="00050E45" w:rsidRDefault="0033221A">
            <w:pPr>
              <w:pStyle w:val="TableParagraph"/>
              <w:spacing w:before="95"/>
              <w:ind w:left="73"/>
              <w:rPr>
                <w:sz w:val="20"/>
              </w:rPr>
            </w:pPr>
            <w:r>
              <w:rPr>
                <w:sz w:val="20"/>
              </w:rPr>
              <w:t>A+: 97-100</w:t>
            </w:r>
          </w:p>
        </w:tc>
        <w:tc>
          <w:tcPr>
            <w:tcW w:w="3117" w:type="dxa"/>
          </w:tcPr>
          <w:p w:rsidR="00050E45" w:rsidRDefault="0033221A">
            <w:pPr>
              <w:pStyle w:val="TableParagraph"/>
              <w:spacing w:before="95"/>
              <w:ind w:left="76"/>
              <w:rPr>
                <w:sz w:val="20"/>
              </w:rPr>
            </w:pPr>
            <w:r>
              <w:rPr>
                <w:sz w:val="20"/>
              </w:rPr>
              <w:t>A: 94-96</w:t>
            </w:r>
          </w:p>
        </w:tc>
        <w:tc>
          <w:tcPr>
            <w:tcW w:w="3118" w:type="dxa"/>
          </w:tcPr>
          <w:p w:rsidR="00050E45" w:rsidRDefault="0033221A">
            <w:pPr>
              <w:pStyle w:val="TableParagraph"/>
              <w:spacing w:before="95"/>
              <w:ind w:left="79"/>
              <w:rPr>
                <w:sz w:val="20"/>
              </w:rPr>
            </w:pPr>
            <w:r>
              <w:rPr>
                <w:sz w:val="20"/>
              </w:rPr>
              <w:t>A-: 90-93</w:t>
            </w:r>
          </w:p>
        </w:tc>
      </w:tr>
      <w:tr w:rsidR="00050E45">
        <w:trPr>
          <w:trHeight w:val="445"/>
        </w:trPr>
        <w:tc>
          <w:tcPr>
            <w:tcW w:w="3117" w:type="dxa"/>
            <w:shd w:val="clear" w:color="auto" w:fill="EEEEEE"/>
          </w:tcPr>
          <w:p w:rsidR="00050E45" w:rsidRDefault="0033221A">
            <w:pPr>
              <w:pStyle w:val="TableParagraph"/>
              <w:spacing w:before="85"/>
              <w:ind w:left="73"/>
              <w:rPr>
                <w:sz w:val="20"/>
              </w:rPr>
            </w:pPr>
            <w:r>
              <w:rPr>
                <w:sz w:val="20"/>
              </w:rPr>
              <w:t>B+: 87-89</w:t>
            </w:r>
          </w:p>
        </w:tc>
        <w:tc>
          <w:tcPr>
            <w:tcW w:w="3117" w:type="dxa"/>
            <w:shd w:val="clear" w:color="auto" w:fill="EEEEEE"/>
          </w:tcPr>
          <w:p w:rsidR="00050E45" w:rsidRDefault="0033221A">
            <w:pPr>
              <w:pStyle w:val="TableParagraph"/>
              <w:spacing w:before="85"/>
              <w:ind w:left="76"/>
              <w:rPr>
                <w:sz w:val="20"/>
              </w:rPr>
            </w:pPr>
            <w:r>
              <w:rPr>
                <w:sz w:val="20"/>
              </w:rPr>
              <w:t>B: 84-86</w:t>
            </w:r>
          </w:p>
        </w:tc>
        <w:tc>
          <w:tcPr>
            <w:tcW w:w="3118" w:type="dxa"/>
            <w:shd w:val="clear" w:color="auto" w:fill="EEEEEE"/>
          </w:tcPr>
          <w:p w:rsidR="00050E45" w:rsidRDefault="0033221A">
            <w:pPr>
              <w:pStyle w:val="TableParagraph"/>
              <w:spacing w:before="85"/>
              <w:ind w:left="79"/>
              <w:rPr>
                <w:sz w:val="20"/>
              </w:rPr>
            </w:pPr>
            <w:r>
              <w:rPr>
                <w:sz w:val="20"/>
              </w:rPr>
              <w:t>B-: 80-83</w:t>
            </w:r>
          </w:p>
        </w:tc>
      </w:tr>
      <w:tr w:rsidR="00050E45">
        <w:trPr>
          <w:trHeight w:val="445"/>
        </w:trPr>
        <w:tc>
          <w:tcPr>
            <w:tcW w:w="3117" w:type="dxa"/>
          </w:tcPr>
          <w:p w:rsidR="00050E45" w:rsidRDefault="0033221A">
            <w:pPr>
              <w:pStyle w:val="TableParagraph"/>
              <w:spacing w:before="95"/>
              <w:ind w:left="73"/>
              <w:rPr>
                <w:sz w:val="20"/>
              </w:rPr>
            </w:pPr>
            <w:r>
              <w:rPr>
                <w:sz w:val="20"/>
              </w:rPr>
              <w:t>C+: 77-79</w:t>
            </w:r>
          </w:p>
        </w:tc>
        <w:tc>
          <w:tcPr>
            <w:tcW w:w="3117" w:type="dxa"/>
          </w:tcPr>
          <w:p w:rsidR="00050E45" w:rsidRDefault="0033221A">
            <w:pPr>
              <w:pStyle w:val="TableParagraph"/>
              <w:spacing w:before="95"/>
              <w:ind w:left="76"/>
              <w:rPr>
                <w:sz w:val="20"/>
              </w:rPr>
            </w:pPr>
            <w:r>
              <w:rPr>
                <w:sz w:val="20"/>
              </w:rPr>
              <w:t>C: 74-76</w:t>
            </w:r>
          </w:p>
        </w:tc>
        <w:tc>
          <w:tcPr>
            <w:tcW w:w="3118" w:type="dxa"/>
          </w:tcPr>
          <w:p w:rsidR="00050E45" w:rsidRDefault="0033221A">
            <w:pPr>
              <w:pStyle w:val="TableParagraph"/>
              <w:spacing w:before="95"/>
              <w:ind w:left="79"/>
              <w:rPr>
                <w:sz w:val="20"/>
              </w:rPr>
            </w:pPr>
            <w:r>
              <w:rPr>
                <w:sz w:val="20"/>
              </w:rPr>
              <w:t>C-: 70-73</w:t>
            </w:r>
          </w:p>
        </w:tc>
      </w:tr>
      <w:tr w:rsidR="00050E45">
        <w:trPr>
          <w:trHeight w:val="445"/>
        </w:trPr>
        <w:tc>
          <w:tcPr>
            <w:tcW w:w="3117" w:type="dxa"/>
            <w:shd w:val="clear" w:color="auto" w:fill="EEEEEE"/>
          </w:tcPr>
          <w:p w:rsidR="00050E45" w:rsidRDefault="0033221A">
            <w:pPr>
              <w:pStyle w:val="TableParagraph"/>
              <w:spacing w:before="85"/>
              <w:ind w:left="73"/>
              <w:rPr>
                <w:sz w:val="20"/>
              </w:rPr>
            </w:pPr>
            <w:r>
              <w:rPr>
                <w:sz w:val="20"/>
              </w:rPr>
              <w:t>D+: 67-69</w:t>
            </w:r>
          </w:p>
        </w:tc>
        <w:tc>
          <w:tcPr>
            <w:tcW w:w="3117" w:type="dxa"/>
            <w:shd w:val="clear" w:color="auto" w:fill="EEEEEE"/>
          </w:tcPr>
          <w:p w:rsidR="00050E45" w:rsidRDefault="0033221A">
            <w:pPr>
              <w:pStyle w:val="TableParagraph"/>
              <w:spacing w:before="85"/>
              <w:ind w:left="76"/>
              <w:rPr>
                <w:sz w:val="20"/>
              </w:rPr>
            </w:pPr>
            <w:r>
              <w:rPr>
                <w:sz w:val="20"/>
              </w:rPr>
              <w:t>D: 65-66</w:t>
            </w:r>
          </w:p>
        </w:tc>
        <w:tc>
          <w:tcPr>
            <w:tcW w:w="3118" w:type="dxa"/>
            <w:shd w:val="clear" w:color="auto" w:fill="EEEEEE"/>
          </w:tcPr>
          <w:p w:rsidR="00050E45" w:rsidRDefault="0033221A">
            <w:pPr>
              <w:pStyle w:val="TableParagraph"/>
              <w:spacing w:before="85"/>
              <w:ind w:left="79"/>
              <w:rPr>
                <w:sz w:val="20"/>
              </w:rPr>
            </w:pPr>
            <w:r>
              <w:rPr>
                <w:sz w:val="20"/>
              </w:rPr>
              <w:t>F: 0-64</w:t>
            </w:r>
          </w:p>
        </w:tc>
      </w:tr>
    </w:tbl>
    <w:p w:rsidR="00050E45" w:rsidRDefault="00050E45">
      <w:pPr>
        <w:pStyle w:val="BodyText"/>
        <w:rPr>
          <w:sz w:val="34"/>
        </w:rPr>
      </w:pPr>
    </w:p>
    <w:p w:rsidR="00050E45" w:rsidRDefault="0033221A">
      <w:pPr>
        <w:pStyle w:val="Heading1"/>
        <w:spacing w:before="208"/>
      </w:pPr>
      <w:r>
        <w:t>Final Grades:</w:t>
      </w:r>
    </w:p>
    <w:p w:rsidR="00050E45" w:rsidRDefault="0033221A">
      <w:pPr>
        <w:pStyle w:val="BodyText"/>
        <w:ind w:left="100"/>
      </w:pPr>
      <w:r>
        <w:t xml:space="preserve">GMU requires instructors to submit final grades within two days of the final exam, which does not </w:t>
      </w:r>
      <w:r w:rsidR="00FC2884">
        <w:t>leave us anytime to accept addi</w:t>
      </w:r>
      <w:r>
        <w:t>tional work to raise an individual grade.</w:t>
      </w:r>
    </w:p>
    <w:p w:rsidR="00050E45" w:rsidRDefault="00050E45">
      <w:pPr>
        <w:pStyle w:val="BodyText"/>
        <w:rPr>
          <w:sz w:val="34"/>
        </w:rPr>
      </w:pPr>
    </w:p>
    <w:p w:rsidR="00050E45" w:rsidRDefault="00050E45">
      <w:pPr>
        <w:pStyle w:val="BodyText"/>
        <w:spacing w:before="8"/>
        <w:rPr>
          <w:sz w:val="36"/>
        </w:rPr>
      </w:pPr>
    </w:p>
    <w:p w:rsidR="00050E45" w:rsidRDefault="0033221A">
      <w:pPr>
        <w:pStyle w:val="Heading1"/>
        <w:ind w:left="3420"/>
      </w:pPr>
      <w:r>
        <w:t>Course Schedule:</w:t>
      </w:r>
    </w:p>
    <w:p w:rsidR="00760ADF" w:rsidRDefault="0033221A" w:rsidP="00760ADF">
      <w:pPr>
        <w:pStyle w:val="BodyText"/>
        <w:ind w:left="100" w:right="285"/>
      </w:pPr>
      <w:r>
        <w:t xml:space="preserve">Please note that the course schedule detailed below is subject to change at the instructor's discretion. As </w:t>
      </w:r>
      <w:r>
        <w:rPr>
          <w:spacing w:val="-3"/>
        </w:rPr>
        <w:t xml:space="preserve">new, </w:t>
      </w:r>
      <w:r>
        <w:t xml:space="preserve">pertinent </w:t>
      </w:r>
    </w:p>
    <w:p w:rsidR="00050E45" w:rsidRDefault="00760ADF" w:rsidP="00760ADF">
      <w:pPr>
        <w:pStyle w:val="BodyText"/>
        <w:ind w:left="100" w:right="285"/>
        <w:sectPr w:rsidR="00050E45">
          <w:pgSz w:w="12240" w:h="15840"/>
          <w:pgMar w:top="1060" w:right="1320" w:bottom="280" w:left="1340" w:header="720" w:footer="720" w:gutter="0"/>
          <w:cols w:space="720"/>
        </w:sectPr>
      </w:pPr>
      <w:r>
        <w:t>informa</w:t>
      </w:r>
      <w:r w:rsidR="0033221A">
        <w:t>tion surfaces, reading will be ass</w:t>
      </w:r>
      <w:r>
        <w:t>igned outside of the below syl</w:t>
      </w:r>
      <w:r w:rsidR="0033221A">
        <w:t>labus outline. Please check your GMU e-mail account regularly for course updates and reading materials. All assigned reading is s</w:t>
      </w:r>
      <w:r>
        <w:t>ubject to testing.</w:t>
      </w:r>
    </w:p>
    <w:tbl>
      <w:tblPr>
        <w:tblW w:w="0" w:type="auto"/>
        <w:tblInd w:w="10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1443"/>
        <w:gridCol w:w="2985"/>
        <w:gridCol w:w="4928"/>
      </w:tblGrid>
      <w:tr w:rsidR="00050E45">
        <w:trPr>
          <w:trHeight w:val="400"/>
        </w:trPr>
        <w:tc>
          <w:tcPr>
            <w:tcW w:w="1443" w:type="dxa"/>
            <w:tcBorders>
              <w:bottom w:val="single" w:sz="4" w:space="0" w:color="7F7F7F"/>
            </w:tcBorders>
            <w:shd w:val="clear" w:color="auto" w:fill="BDC0BF"/>
          </w:tcPr>
          <w:p w:rsidR="00050E45" w:rsidRDefault="0033221A">
            <w:pPr>
              <w:pStyle w:val="TableParagraph"/>
              <w:spacing w:before="87"/>
              <w:ind w:left="77"/>
              <w:rPr>
                <w:b/>
                <w:sz w:val="20"/>
              </w:rPr>
            </w:pPr>
            <w:r>
              <w:rPr>
                <w:b/>
                <w:sz w:val="20"/>
              </w:rPr>
              <w:t>Date</w:t>
            </w:r>
          </w:p>
        </w:tc>
        <w:tc>
          <w:tcPr>
            <w:tcW w:w="2985" w:type="dxa"/>
            <w:tcBorders>
              <w:bottom w:val="single" w:sz="4" w:space="0" w:color="7F7F7F"/>
            </w:tcBorders>
            <w:shd w:val="clear" w:color="auto" w:fill="BDC0BF"/>
          </w:tcPr>
          <w:p w:rsidR="00050E45" w:rsidRDefault="0033221A">
            <w:pPr>
              <w:pStyle w:val="TableParagraph"/>
              <w:spacing w:before="87"/>
              <w:ind w:left="74"/>
              <w:rPr>
                <w:b/>
                <w:sz w:val="20"/>
              </w:rPr>
            </w:pPr>
            <w:r>
              <w:rPr>
                <w:b/>
                <w:sz w:val="20"/>
              </w:rPr>
              <w:t>Topic</w:t>
            </w:r>
          </w:p>
        </w:tc>
        <w:tc>
          <w:tcPr>
            <w:tcW w:w="4928" w:type="dxa"/>
            <w:tcBorders>
              <w:bottom w:val="single" w:sz="4" w:space="0" w:color="7F7F7F"/>
            </w:tcBorders>
            <w:shd w:val="clear" w:color="auto" w:fill="BDC0BF"/>
          </w:tcPr>
          <w:p w:rsidR="00050E45" w:rsidRDefault="0033221A">
            <w:pPr>
              <w:pStyle w:val="TableParagraph"/>
              <w:spacing w:before="87"/>
              <w:ind w:left="89"/>
              <w:rPr>
                <w:b/>
                <w:sz w:val="20"/>
              </w:rPr>
            </w:pPr>
            <w:r>
              <w:rPr>
                <w:b/>
                <w:sz w:val="20"/>
              </w:rPr>
              <w:t>Reading</w:t>
            </w:r>
          </w:p>
        </w:tc>
      </w:tr>
      <w:tr w:rsidR="00050E45">
        <w:trPr>
          <w:trHeight w:val="880"/>
        </w:trPr>
        <w:tc>
          <w:tcPr>
            <w:tcW w:w="1443" w:type="dxa"/>
            <w:tcBorders>
              <w:top w:val="single" w:sz="4" w:space="0" w:color="7F7F7F"/>
              <w:right w:val="single" w:sz="4" w:space="0" w:color="7F7F7F"/>
            </w:tcBorders>
            <w:shd w:val="clear" w:color="auto" w:fill="E2E4E3"/>
          </w:tcPr>
          <w:p w:rsidR="00050E45" w:rsidRDefault="00F531BA">
            <w:pPr>
              <w:pStyle w:val="TableParagraph"/>
              <w:ind w:right="75"/>
              <w:jc w:val="right"/>
              <w:rPr>
                <w:b/>
                <w:sz w:val="20"/>
              </w:rPr>
            </w:pPr>
            <w:r>
              <w:rPr>
                <w:b/>
                <w:sz w:val="20"/>
              </w:rPr>
              <w:t xml:space="preserve">August 29 </w:t>
            </w:r>
          </w:p>
        </w:tc>
        <w:tc>
          <w:tcPr>
            <w:tcW w:w="2985" w:type="dxa"/>
            <w:tcBorders>
              <w:top w:val="single" w:sz="4" w:space="0" w:color="7F7F7F"/>
              <w:left w:val="single" w:sz="4" w:space="0" w:color="7F7F7F"/>
            </w:tcBorders>
          </w:tcPr>
          <w:p w:rsidR="00050E45" w:rsidRDefault="0033221A">
            <w:pPr>
              <w:pStyle w:val="TableParagraph"/>
              <w:spacing w:before="77"/>
              <w:ind w:left="91"/>
              <w:rPr>
                <w:sz w:val="20"/>
              </w:rPr>
            </w:pPr>
            <w:r>
              <w:rPr>
                <w:sz w:val="20"/>
              </w:rPr>
              <w:t>Introduction and overview</w:t>
            </w:r>
          </w:p>
        </w:tc>
        <w:tc>
          <w:tcPr>
            <w:tcW w:w="4928" w:type="dxa"/>
            <w:tcBorders>
              <w:top w:val="single" w:sz="4" w:space="0" w:color="7F7F7F"/>
            </w:tcBorders>
          </w:tcPr>
          <w:p w:rsidR="00050E45" w:rsidRDefault="0033221A">
            <w:pPr>
              <w:pStyle w:val="TableParagraph"/>
              <w:spacing w:before="77" w:line="249" w:lineRule="auto"/>
              <w:ind w:left="89"/>
              <w:rPr>
                <w:i/>
                <w:sz w:val="20"/>
              </w:rPr>
            </w:pPr>
            <w:r>
              <w:rPr>
                <w:sz w:val="20"/>
              </w:rPr>
              <w:t xml:space="preserve">Course syllabus; </w:t>
            </w:r>
            <w:r w:rsidR="00304C11" w:rsidRPr="00304C11">
              <w:rPr>
                <w:i/>
                <w:sz w:val="20"/>
              </w:rPr>
              <w:t xml:space="preserve">Why Do We Care So Much About Privacy </w:t>
            </w:r>
            <w:hyperlink r:id="rId6" w:history="1">
              <w:r w:rsidR="00304C11" w:rsidRPr="00E30A22">
                <w:rPr>
                  <w:rStyle w:val="Hyperlink"/>
                  <w:i/>
                  <w:sz w:val="20"/>
                </w:rPr>
                <w:t>https://www.newyorker.com/magazine/2018/06/18/why-do-we-care-so-much-about-privacy</w:t>
              </w:r>
            </w:hyperlink>
          </w:p>
          <w:p w:rsidR="00304C11" w:rsidRDefault="00304C11">
            <w:pPr>
              <w:pStyle w:val="TableParagraph"/>
              <w:spacing w:before="77" w:line="249" w:lineRule="auto"/>
              <w:ind w:left="89"/>
              <w:rPr>
                <w:i/>
                <w:sz w:val="20"/>
              </w:rPr>
            </w:pPr>
          </w:p>
        </w:tc>
      </w:tr>
      <w:tr w:rsidR="00050E45">
        <w:trPr>
          <w:trHeight w:val="890"/>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September 5</w:t>
            </w:r>
          </w:p>
        </w:tc>
        <w:tc>
          <w:tcPr>
            <w:tcW w:w="2985" w:type="dxa"/>
            <w:tcBorders>
              <w:left w:val="single" w:sz="4" w:space="0" w:color="7F7F7F"/>
            </w:tcBorders>
            <w:shd w:val="clear" w:color="auto" w:fill="EEEEEE"/>
          </w:tcPr>
          <w:p w:rsidR="00050E45" w:rsidRDefault="0033221A">
            <w:pPr>
              <w:pStyle w:val="TableParagraph"/>
              <w:spacing w:before="72" w:line="249" w:lineRule="auto"/>
              <w:ind w:left="91"/>
              <w:rPr>
                <w:sz w:val="20"/>
              </w:rPr>
            </w:pPr>
            <w:r>
              <w:rPr>
                <w:sz w:val="20"/>
              </w:rPr>
              <w:t>How the Fourth Amendment Works</w:t>
            </w:r>
          </w:p>
        </w:tc>
        <w:tc>
          <w:tcPr>
            <w:tcW w:w="4928" w:type="dxa"/>
            <w:shd w:val="clear" w:color="auto" w:fill="EEEEEE"/>
          </w:tcPr>
          <w:p w:rsidR="00050E45" w:rsidRDefault="0033221A" w:rsidP="00304C11">
            <w:pPr>
              <w:pStyle w:val="TableParagraph"/>
              <w:spacing w:before="72" w:line="249" w:lineRule="auto"/>
              <w:ind w:left="89" w:right="317"/>
              <w:rPr>
                <w:sz w:val="20"/>
              </w:rPr>
            </w:pPr>
            <w:r>
              <w:rPr>
                <w:sz w:val="20"/>
              </w:rPr>
              <w:t xml:space="preserve">(pp. </w:t>
            </w:r>
            <w:r>
              <w:rPr>
                <w:spacing w:val="-3"/>
                <w:sz w:val="20"/>
              </w:rPr>
              <w:t xml:space="preserve">1-11); </w:t>
            </w:r>
            <w:r>
              <w:rPr>
                <w:sz w:val="20"/>
                <w:u w:val="single"/>
              </w:rPr>
              <w:t xml:space="preserve">Weeks </w:t>
            </w:r>
            <w:r>
              <w:rPr>
                <w:spacing w:val="-8"/>
                <w:sz w:val="20"/>
                <w:u w:val="single"/>
              </w:rPr>
              <w:t xml:space="preserve">v. </w:t>
            </w:r>
            <w:r>
              <w:rPr>
                <w:sz w:val="20"/>
                <w:u w:val="single"/>
              </w:rPr>
              <w:t xml:space="preserve">U.S; Mapp </w:t>
            </w:r>
            <w:r>
              <w:rPr>
                <w:spacing w:val="-8"/>
                <w:sz w:val="20"/>
                <w:u w:val="single"/>
              </w:rPr>
              <w:t xml:space="preserve">v. </w:t>
            </w:r>
            <w:r>
              <w:rPr>
                <w:sz w:val="20"/>
                <w:u w:val="single"/>
              </w:rPr>
              <w:t>Ohio</w:t>
            </w:r>
            <w:r>
              <w:rPr>
                <w:sz w:val="20"/>
              </w:rPr>
              <w:t>;</w:t>
            </w:r>
            <w:r w:rsidR="00304C11">
              <w:rPr>
                <w:sz w:val="20"/>
              </w:rPr>
              <w:t xml:space="preserve"> </w:t>
            </w:r>
            <w:r w:rsidR="00304C11" w:rsidRPr="00304C11">
              <w:rPr>
                <w:i/>
                <w:sz w:val="20"/>
              </w:rPr>
              <w:t>The Right to Privacy,</w:t>
            </w:r>
            <w:r w:rsidR="00304C11">
              <w:rPr>
                <w:sz w:val="20"/>
              </w:rPr>
              <w:t xml:space="preserve"> </w:t>
            </w:r>
            <w:r>
              <w:rPr>
                <w:sz w:val="20"/>
              </w:rPr>
              <w:t xml:space="preserve"> </w:t>
            </w:r>
            <w:hyperlink r:id="rId7" w:history="1">
              <w:r w:rsidR="00304C11" w:rsidRPr="00E30A22">
                <w:rPr>
                  <w:rStyle w:val="Hyperlink"/>
                  <w:sz w:val="20"/>
                </w:rPr>
                <w:t>http://groups.csail.mit.edu/mac/classes/6.805/articles/privacy/Privacy_brand_warr2.html</w:t>
              </w:r>
            </w:hyperlink>
          </w:p>
          <w:p w:rsidR="00304C11" w:rsidRDefault="00304C11">
            <w:pPr>
              <w:pStyle w:val="TableParagraph"/>
              <w:spacing w:before="72" w:line="249" w:lineRule="auto"/>
              <w:ind w:left="89" w:right="317"/>
              <w:jc w:val="both"/>
              <w:rPr>
                <w:i/>
                <w:sz w:val="20"/>
              </w:rPr>
            </w:pPr>
          </w:p>
        </w:tc>
      </w:tr>
      <w:tr w:rsidR="00050E45" w:rsidTr="00976AB1">
        <w:trPr>
          <w:trHeight w:val="645"/>
        </w:trPr>
        <w:tc>
          <w:tcPr>
            <w:tcW w:w="1443" w:type="dxa"/>
            <w:tcBorders>
              <w:right w:val="single" w:sz="4" w:space="0" w:color="7F7F7F"/>
            </w:tcBorders>
            <w:shd w:val="clear" w:color="auto" w:fill="auto"/>
          </w:tcPr>
          <w:p w:rsidR="00050E45" w:rsidRDefault="00367EA7">
            <w:pPr>
              <w:pStyle w:val="TableParagraph"/>
              <w:ind w:right="75"/>
              <w:jc w:val="right"/>
              <w:rPr>
                <w:b/>
                <w:sz w:val="20"/>
              </w:rPr>
            </w:pPr>
            <w:r>
              <w:rPr>
                <w:b/>
                <w:sz w:val="20"/>
              </w:rPr>
              <w:t>September 12</w:t>
            </w:r>
          </w:p>
        </w:tc>
        <w:tc>
          <w:tcPr>
            <w:tcW w:w="2985" w:type="dxa"/>
            <w:tcBorders>
              <w:left w:val="single" w:sz="4" w:space="0" w:color="7F7F7F"/>
            </w:tcBorders>
            <w:shd w:val="clear" w:color="auto" w:fill="auto"/>
          </w:tcPr>
          <w:p w:rsidR="00050E45" w:rsidRDefault="0033221A">
            <w:pPr>
              <w:pStyle w:val="TableParagraph"/>
              <w:spacing w:before="77" w:line="249" w:lineRule="auto"/>
              <w:ind w:left="91" w:right="509"/>
              <w:rPr>
                <w:sz w:val="20"/>
              </w:rPr>
            </w:pPr>
            <w:r>
              <w:rPr>
                <w:sz w:val="20"/>
              </w:rPr>
              <w:t>Wiretapping, Bugging, and Beyond</w:t>
            </w:r>
          </w:p>
        </w:tc>
        <w:tc>
          <w:tcPr>
            <w:tcW w:w="4928" w:type="dxa"/>
            <w:shd w:val="clear" w:color="auto" w:fill="auto"/>
          </w:tcPr>
          <w:p w:rsidR="00050E45" w:rsidRDefault="0033221A">
            <w:pPr>
              <w:pStyle w:val="TableParagraph"/>
              <w:spacing w:before="77"/>
              <w:ind w:left="89"/>
              <w:rPr>
                <w:sz w:val="20"/>
              </w:rPr>
            </w:pPr>
            <w:r>
              <w:rPr>
                <w:sz w:val="20"/>
              </w:rPr>
              <w:t xml:space="preserve">(pp. 11-21); </w:t>
            </w:r>
            <w:r>
              <w:rPr>
                <w:sz w:val="20"/>
                <w:u w:val="single"/>
              </w:rPr>
              <w:t>Olmstead v. U.S.</w:t>
            </w:r>
            <w:r>
              <w:rPr>
                <w:sz w:val="20"/>
              </w:rPr>
              <w:t xml:space="preserve">; </w:t>
            </w:r>
            <w:r>
              <w:rPr>
                <w:sz w:val="20"/>
                <w:u w:val="single"/>
              </w:rPr>
              <w:t>Lopez v. U.S.</w:t>
            </w:r>
            <w:r>
              <w:rPr>
                <w:sz w:val="20"/>
              </w:rPr>
              <w:t>;</w:t>
            </w:r>
          </w:p>
        </w:tc>
      </w:tr>
      <w:tr w:rsidR="00050E45">
        <w:trPr>
          <w:trHeight w:val="1002"/>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 xml:space="preserve">September 19 </w:t>
            </w:r>
          </w:p>
        </w:tc>
        <w:tc>
          <w:tcPr>
            <w:tcW w:w="2985" w:type="dxa"/>
            <w:tcBorders>
              <w:left w:val="single" w:sz="4" w:space="0" w:color="7F7F7F"/>
            </w:tcBorders>
            <w:shd w:val="clear" w:color="auto" w:fill="DDDDDD"/>
          </w:tcPr>
          <w:p w:rsidR="00050E45" w:rsidRDefault="0033221A">
            <w:pPr>
              <w:pStyle w:val="TableParagraph"/>
              <w:spacing w:before="87" w:line="249" w:lineRule="auto"/>
              <w:ind w:left="91" w:right="475"/>
              <w:rPr>
                <w:sz w:val="20"/>
              </w:rPr>
            </w:pPr>
            <w:r>
              <w:rPr>
                <w:sz w:val="20"/>
              </w:rPr>
              <w:t>Reasonable Expectation of Privacy</w:t>
            </w:r>
          </w:p>
        </w:tc>
        <w:tc>
          <w:tcPr>
            <w:tcW w:w="4928" w:type="dxa"/>
            <w:shd w:val="clear" w:color="auto" w:fill="EEEEEE"/>
          </w:tcPr>
          <w:p w:rsidR="00050E45" w:rsidRDefault="0033221A">
            <w:pPr>
              <w:pStyle w:val="TableParagraph"/>
              <w:spacing w:before="87" w:line="249" w:lineRule="auto"/>
              <w:ind w:left="89"/>
              <w:rPr>
                <w:sz w:val="20"/>
              </w:rPr>
            </w:pPr>
            <w:r>
              <w:rPr>
                <w:sz w:val="20"/>
              </w:rPr>
              <w:t xml:space="preserve">(pp. 21-32); </w:t>
            </w:r>
            <w:r>
              <w:rPr>
                <w:sz w:val="20"/>
                <w:u w:val="single"/>
              </w:rPr>
              <w:t>Griswold v Conn.</w:t>
            </w:r>
            <w:r>
              <w:rPr>
                <w:sz w:val="20"/>
              </w:rPr>
              <w:t xml:space="preserve">; </w:t>
            </w:r>
            <w:r>
              <w:rPr>
                <w:sz w:val="20"/>
                <w:u w:val="single"/>
              </w:rPr>
              <w:t>Katz v. U.S.</w:t>
            </w:r>
            <w:r>
              <w:rPr>
                <w:sz w:val="20"/>
              </w:rPr>
              <w:t xml:space="preserve">; </w:t>
            </w:r>
            <w:r>
              <w:rPr>
                <w:sz w:val="20"/>
                <w:u w:val="single"/>
              </w:rPr>
              <w:t>Roe v.</w:t>
            </w:r>
            <w:r>
              <w:rPr>
                <w:sz w:val="20"/>
              </w:rPr>
              <w:t xml:space="preserve"> </w:t>
            </w:r>
            <w:r>
              <w:rPr>
                <w:sz w:val="20"/>
                <w:u w:val="single"/>
              </w:rPr>
              <w:t>Wade</w:t>
            </w:r>
            <w:r>
              <w:rPr>
                <w:sz w:val="20"/>
              </w:rPr>
              <w:t xml:space="preserve">; </w:t>
            </w:r>
            <w:r>
              <w:rPr>
                <w:sz w:val="20"/>
                <w:u w:val="single"/>
              </w:rPr>
              <w:t>Whalen v. Roe</w:t>
            </w:r>
          </w:p>
        </w:tc>
      </w:tr>
      <w:tr w:rsidR="00050E45">
        <w:trPr>
          <w:trHeight w:val="1055"/>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September 26</w:t>
            </w:r>
          </w:p>
        </w:tc>
        <w:tc>
          <w:tcPr>
            <w:tcW w:w="2985" w:type="dxa"/>
            <w:tcBorders>
              <w:left w:val="single" w:sz="4" w:space="0" w:color="7F7F7F"/>
            </w:tcBorders>
          </w:tcPr>
          <w:p w:rsidR="00050E45" w:rsidRDefault="0033221A">
            <w:pPr>
              <w:pStyle w:val="TableParagraph"/>
              <w:spacing w:before="80" w:line="249" w:lineRule="auto"/>
              <w:ind w:left="91" w:right="154"/>
              <w:rPr>
                <w:sz w:val="20"/>
              </w:rPr>
            </w:pPr>
            <w:r>
              <w:rPr>
                <w:sz w:val="20"/>
              </w:rPr>
              <w:t>Third Party Doctrine and Items Abandoned or Exposed</w:t>
            </w:r>
          </w:p>
        </w:tc>
        <w:tc>
          <w:tcPr>
            <w:tcW w:w="4928" w:type="dxa"/>
          </w:tcPr>
          <w:p w:rsidR="00050E45" w:rsidRDefault="0033221A">
            <w:pPr>
              <w:pStyle w:val="TableParagraph"/>
              <w:spacing w:before="80" w:line="249" w:lineRule="auto"/>
              <w:ind w:left="89"/>
              <w:rPr>
                <w:sz w:val="20"/>
              </w:rPr>
            </w:pPr>
            <w:r>
              <w:rPr>
                <w:sz w:val="20"/>
              </w:rPr>
              <w:t xml:space="preserve">(pp. 32-49); </w:t>
            </w:r>
            <w:r>
              <w:rPr>
                <w:sz w:val="20"/>
                <w:u w:val="single"/>
              </w:rPr>
              <w:t>Smith v. Maryland</w:t>
            </w:r>
            <w:r>
              <w:rPr>
                <w:sz w:val="20"/>
              </w:rPr>
              <w:t xml:space="preserve">; </w:t>
            </w:r>
            <w:r>
              <w:rPr>
                <w:sz w:val="20"/>
                <w:u w:val="single"/>
              </w:rPr>
              <w:t>California v.</w:t>
            </w:r>
            <w:r>
              <w:rPr>
                <w:sz w:val="20"/>
              </w:rPr>
              <w:t xml:space="preserve"> </w:t>
            </w:r>
            <w:r>
              <w:rPr>
                <w:sz w:val="20"/>
                <w:u w:val="single"/>
              </w:rPr>
              <w:t>Greenwood</w:t>
            </w:r>
            <w:r>
              <w:rPr>
                <w:sz w:val="20"/>
              </w:rPr>
              <w:t>;</w:t>
            </w:r>
            <w:r w:rsidR="00181C10">
              <w:rPr>
                <w:sz w:val="20"/>
              </w:rPr>
              <w:t xml:space="preserve"> </w:t>
            </w:r>
            <w:r w:rsidR="00181C10" w:rsidRPr="00181C10">
              <w:rPr>
                <w:sz w:val="20"/>
                <w:u w:val="single"/>
              </w:rPr>
              <w:t>Carpenter v. U.S.</w:t>
            </w:r>
            <w:r w:rsidR="00181C10">
              <w:rPr>
                <w:sz w:val="20"/>
              </w:rPr>
              <w:t xml:space="preserve"> </w:t>
            </w:r>
          </w:p>
        </w:tc>
      </w:tr>
      <w:tr w:rsidR="00050E45">
        <w:trPr>
          <w:trHeight w:val="1100"/>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October 3</w:t>
            </w:r>
          </w:p>
        </w:tc>
        <w:tc>
          <w:tcPr>
            <w:tcW w:w="2985" w:type="dxa"/>
            <w:tcBorders>
              <w:left w:val="single" w:sz="4" w:space="0" w:color="7F7F7F"/>
            </w:tcBorders>
            <w:shd w:val="clear" w:color="auto" w:fill="EEEEEE"/>
          </w:tcPr>
          <w:p w:rsidR="00050E45" w:rsidRDefault="0033221A">
            <w:pPr>
              <w:pStyle w:val="TableParagraph"/>
              <w:spacing w:before="80" w:line="249" w:lineRule="auto"/>
              <w:ind w:left="91"/>
              <w:rPr>
                <w:sz w:val="20"/>
              </w:rPr>
            </w:pPr>
            <w:r>
              <w:rPr>
                <w:sz w:val="20"/>
              </w:rPr>
              <w:t>Surveillance, Plain View, and Sense Enhancement Technologies</w:t>
            </w:r>
          </w:p>
        </w:tc>
        <w:tc>
          <w:tcPr>
            <w:tcW w:w="4928" w:type="dxa"/>
            <w:shd w:val="clear" w:color="auto" w:fill="EEEEEE"/>
          </w:tcPr>
          <w:p w:rsidR="00454513" w:rsidRDefault="0033221A" w:rsidP="008E4209">
            <w:pPr>
              <w:pStyle w:val="TableParagraph"/>
              <w:spacing w:before="80" w:line="249" w:lineRule="auto"/>
              <w:ind w:left="89" w:right="234"/>
              <w:rPr>
                <w:sz w:val="20"/>
              </w:rPr>
            </w:pPr>
            <w:r>
              <w:rPr>
                <w:sz w:val="20"/>
              </w:rPr>
              <w:t xml:space="preserve">(pp. 49-79); </w:t>
            </w:r>
            <w:r>
              <w:rPr>
                <w:sz w:val="20"/>
                <w:u w:val="single"/>
              </w:rPr>
              <w:t>Kyllo v. US</w:t>
            </w:r>
            <w:r>
              <w:rPr>
                <w:sz w:val="20"/>
              </w:rPr>
              <w:t xml:space="preserve">; </w:t>
            </w:r>
            <w:r>
              <w:rPr>
                <w:sz w:val="20"/>
                <w:u w:val="single"/>
              </w:rPr>
              <w:t>U.S. v. Jones</w:t>
            </w:r>
            <w:r>
              <w:rPr>
                <w:sz w:val="20"/>
              </w:rPr>
              <w:t xml:space="preserve">; </w:t>
            </w:r>
            <w:r w:rsidR="00454513" w:rsidRPr="00454513">
              <w:rPr>
                <w:i/>
                <w:sz w:val="20"/>
              </w:rPr>
              <w:t xml:space="preserve">When Does A Carpenter Search Start-and When Does it End? </w:t>
            </w:r>
            <w:hyperlink r:id="rId8" w:history="1">
              <w:r w:rsidR="00454513" w:rsidRPr="00E30A22">
                <w:rPr>
                  <w:rStyle w:val="Hyperlink"/>
                  <w:sz w:val="20"/>
                </w:rPr>
                <w:t>https://www.lawfareblog.com/when-does-carpenter-search-start-and-when-does-it-stop</w:t>
              </w:r>
            </w:hyperlink>
          </w:p>
        </w:tc>
      </w:tr>
      <w:tr w:rsidR="00050E45" w:rsidTr="008B406F">
        <w:trPr>
          <w:trHeight w:val="356"/>
        </w:trPr>
        <w:tc>
          <w:tcPr>
            <w:tcW w:w="1443" w:type="dxa"/>
            <w:tcBorders>
              <w:right w:val="single" w:sz="4" w:space="0" w:color="7F7F7F"/>
            </w:tcBorders>
            <w:shd w:val="clear" w:color="auto" w:fill="F79646" w:themeFill="accent6"/>
          </w:tcPr>
          <w:p w:rsidR="00050E45" w:rsidRDefault="00367EA7">
            <w:pPr>
              <w:pStyle w:val="TableParagraph"/>
              <w:ind w:right="75"/>
              <w:jc w:val="right"/>
              <w:rPr>
                <w:b/>
                <w:sz w:val="20"/>
              </w:rPr>
            </w:pPr>
            <w:r>
              <w:rPr>
                <w:b/>
                <w:sz w:val="20"/>
              </w:rPr>
              <w:t>October 10</w:t>
            </w:r>
          </w:p>
        </w:tc>
        <w:tc>
          <w:tcPr>
            <w:tcW w:w="2985" w:type="dxa"/>
            <w:tcBorders>
              <w:left w:val="single" w:sz="4" w:space="0" w:color="7F7F7F"/>
            </w:tcBorders>
            <w:shd w:val="clear" w:color="auto" w:fill="F79646" w:themeFill="accent6"/>
          </w:tcPr>
          <w:p w:rsidR="00050E45" w:rsidRDefault="0033221A">
            <w:pPr>
              <w:pStyle w:val="TableParagraph"/>
              <w:spacing w:before="74"/>
              <w:ind w:left="91"/>
              <w:rPr>
                <w:b/>
                <w:sz w:val="20"/>
              </w:rPr>
            </w:pPr>
            <w:r>
              <w:rPr>
                <w:b/>
                <w:sz w:val="20"/>
              </w:rPr>
              <w:t>MIDTERM EXAM</w:t>
            </w:r>
          </w:p>
        </w:tc>
        <w:tc>
          <w:tcPr>
            <w:tcW w:w="4928" w:type="dxa"/>
            <w:shd w:val="clear" w:color="auto" w:fill="F79646" w:themeFill="accent6"/>
          </w:tcPr>
          <w:p w:rsidR="00050E45" w:rsidRDefault="00050E45">
            <w:pPr>
              <w:pStyle w:val="TableParagraph"/>
              <w:spacing w:before="0"/>
              <w:rPr>
                <w:rFonts w:ascii="Times New Roman"/>
                <w:sz w:val="20"/>
              </w:rPr>
            </w:pPr>
          </w:p>
        </w:tc>
      </w:tr>
      <w:tr w:rsidR="00050E45" w:rsidTr="008E4209">
        <w:trPr>
          <w:trHeight w:val="896"/>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October 17</w:t>
            </w:r>
          </w:p>
        </w:tc>
        <w:tc>
          <w:tcPr>
            <w:tcW w:w="2985" w:type="dxa"/>
            <w:tcBorders>
              <w:left w:val="single" w:sz="4" w:space="0" w:color="7F7F7F"/>
            </w:tcBorders>
            <w:shd w:val="clear" w:color="auto" w:fill="EEEEEE"/>
          </w:tcPr>
          <w:p w:rsidR="00050E45" w:rsidRDefault="0033221A">
            <w:pPr>
              <w:pStyle w:val="TableParagraph"/>
              <w:spacing w:before="74" w:line="249" w:lineRule="auto"/>
              <w:ind w:left="91" w:right="420"/>
              <w:rPr>
                <w:sz w:val="20"/>
              </w:rPr>
            </w:pPr>
            <w:r>
              <w:rPr>
                <w:sz w:val="20"/>
              </w:rPr>
              <w:t>Info Gathering About First Amendment Activities and Electronic Surveillance Law</w:t>
            </w:r>
          </w:p>
        </w:tc>
        <w:tc>
          <w:tcPr>
            <w:tcW w:w="4928" w:type="dxa"/>
            <w:shd w:val="clear" w:color="auto" w:fill="EEEEEE"/>
          </w:tcPr>
          <w:p w:rsidR="00050E45" w:rsidRDefault="0033221A">
            <w:pPr>
              <w:pStyle w:val="TableParagraph"/>
              <w:spacing w:before="74" w:line="249" w:lineRule="auto"/>
              <w:ind w:left="89" w:right="234"/>
              <w:rPr>
                <w:i/>
                <w:sz w:val="20"/>
              </w:rPr>
            </w:pPr>
            <w:r>
              <w:rPr>
                <w:sz w:val="20"/>
              </w:rPr>
              <w:t xml:space="preserve">(pp. 79-102); </w:t>
            </w:r>
            <w:r>
              <w:rPr>
                <w:sz w:val="20"/>
                <w:u w:val="single"/>
              </w:rPr>
              <w:t>Fields v. City of Philadelphia</w:t>
            </w:r>
            <w:r>
              <w:rPr>
                <w:sz w:val="20"/>
              </w:rPr>
              <w:t xml:space="preserve">; </w:t>
            </w:r>
            <w:r>
              <w:rPr>
                <w:i/>
                <w:sz w:val="20"/>
              </w:rPr>
              <w:t>Taylor Swift Said to Use Facial Recognition to Identify Stalkers</w:t>
            </w:r>
            <w:r>
              <w:rPr>
                <w:sz w:val="20"/>
              </w:rPr>
              <w:t xml:space="preserve">; </w:t>
            </w:r>
            <w:r>
              <w:rPr>
                <w:i/>
                <w:sz w:val="20"/>
              </w:rPr>
              <w:t>Economist Facial Recognition Articles.</w:t>
            </w:r>
          </w:p>
        </w:tc>
      </w:tr>
      <w:tr w:rsidR="00050E45" w:rsidTr="008B406F">
        <w:trPr>
          <w:trHeight w:val="986"/>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October 24</w:t>
            </w:r>
          </w:p>
        </w:tc>
        <w:tc>
          <w:tcPr>
            <w:tcW w:w="2985" w:type="dxa"/>
            <w:tcBorders>
              <w:left w:val="single" w:sz="4" w:space="0" w:color="7F7F7F"/>
            </w:tcBorders>
          </w:tcPr>
          <w:p w:rsidR="00050E45" w:rsidRDefault="0033221A">
            <w:pPr>
              <w:pStyle w:val="TableParagraph"/>
              <w:spacing w:before="69" w:line="249" w:lineRule="auto"/>
              <w:ind w:left="91" w:right="542"/>
              <w:rPr>
                <w:sz w:val="20"/>
              </w:rPr>
            </w:pPr>
            <w:r>
              <w:rPr>
                <w:sz w:val="20"/>
              </w:rPr>
              <w:t>Searching Computers and Devices, and Video Surveillance</w:t>
            </w:r>
          </w:p>
        </w:tc>
        <w:tc>
          <w:tcPr>
            <w:tcW w:w="4928" w:type="dxa"/>
          </w:tcPr>
          <w:p w:rsidR="00050E45" w:rsidRDefault="0033221A">
            <w:pPr>
              <w:pStyle w:val="TableParagraph"/>
              <w:spacing w:before="69"/>
              <w:ind w:left="89"/>
              <w:rPr>
                <w:sz w:val="20"/>
              </w:rPr>
            </w:pPr>
            <w:r>
              <w:rPr>
                <w:sz w:val="20"/>
              </w:rPr>
              <w:t xml:space="preserve">(pp. 107-126); </w:t>
            </w:r>
            <w:r>
              <w:rPr>
                <w:sz w:val="20"/>
                <w:u w:val="single"/>
              </w:rPr>
              <w:t>Riley v. California</w:t>
            </w:r>
            <w:r>
              <w:rPr>
                <w:sz w:val="20"/>
              </w:rPr>
              <w:t xml:space="preserve">; </w:t>
            </w:r>
            <w:r>
              <w:rPr>
                <w:sz w:val="20"/>
                <w:u w:val="single"/>
              </w:rPr>
              <w:t>U.S. v. Horton</w:t>
            </w:r>
          </w:p>
        </w:tc>
      </w:tr>
      <w:tr w:rsidR="00050E45" w:rsidTr="008B406F">
        <w:trPr>
          <w:trHeight w:val="851"/>
        </w:trPr>
        <w:tc>
          <w:tcPr>
            <w:tcW w:w="1443" w:type="dxa"/>
            <w:tcBorders>
              <w:right w:val="single" w:sz="4" w:space="0" w:color="7F7F7F"/>
            </w:tcBorders>
            <w:shd w:val="clear" w:color="auto" w:fill="E2E4E3"/>
          </w:tcPr>
          <w:p w:rsidR="00050E45" w:rsidRDefault="00367EA7">
            <w:pPr>
              <w:pStyle w:val="TableParagraph"/>
              <w:ind w:right="75"/>
              <w:jc w:val="right"/>
              <w:rPr>
                <w:b/>
                <w:sz w:val="20"/>
              </w:rPr>
            </w:pPr>
            <w:r>
              <w:rPr>
                <w:b/>
                <w:sz w:val="20"/>
              </w:rPr>
              <w:t xml:space="preserve">October </w:t>
            </w:r>
            <w:r w:rsidR="00976AB1">
              <w:rPr>
                <w:b/>
                <w:sz w:val="20"/>
              </w:rPr>
              <w:t>31</w:t>
            </w:r>
          </w:p>
        </w:tc>
        <w:tc>
          <w:tcPr>
            <w:tcW w:w="2985" w:type="dxa"/>
            <w:tcBorders>
              <w:left w:val="single" w:sz="4" w:space="0" w:color="7F7F7F"/>
            </w:tcBorders>
            <w:shd w:val="clear" w:color="auto" w:fill="EEEEEE"/>
          </w:tcPr>
          <w:p w:rsidR="00050E45" w:rsidRDefault="0033221A">
            <w:pPr>
              <w:pStyle w:val="TableParagraph"/>
              <w:spacing w:before="84" w:line="249" w:lineRule="auto"/>
              <w:ind w:left="91" w:right="487"/>
              <w:rPr>
                <w:sz w:val="20"/>
              </w:rPr>
            </w:pPr>
            <w:r>
              <w:rPr>
                <w:sz w:val="20"/>
              </w:rPr>
              <w:t>Email, Online Comms, and Other Data</w:t>
            </w:r>
          </w:p>
        </w:tc>
        <w:tc>
          <w:tcPr>
            <w:tcW w:w="4928" w:type="dxa"/>
            <w:shd w:val="clear" w:color="auto" w:fill="EEEEEE"/>
          </w:tcPr>
          <w:p w:rsidR="00050E45" w:rsidRDefault="0033221A">
            <w:pPr>
              <w:pStyle w:val="TableParagraph"/>
              <w:spacing w:before="84"/>
              <w:ind w:left="89"/>
              <w:rPr>
                <w:sz w:val="20"/>
              </w:rPr>
            </w:pPr>
            <w:r>
              <w:rPr>
                <w:sz w:val="20"/>
              </w:rPr>
              <w:t xml:space="preserve">(pp. 127-154); </w:t>
            </w:r>
            <w:r>
              <w:rPr>
                <w:sz w:val="20"/>
                <w:u w:val="single"/>
              </w:rPr>
              <w:t>U.S. v. Stimler</w:t>
            </w:r>
          </w:p>
        </w:tc>
      </w:tr>
      <w:tr w:rsidR="00050E45">
        <w:trPr>
          <w:trHeight w:val="449"/>
        </w:trPr>
        <w:tc>
          <w:tcPr>
            <w:tcW w:w="1443" w:type="dxa"/>
            <w:tcBorders>
              <w:right w:val="single" w:sz="4" w:space="0" w:color="7F7F7F"/>
            </w:tcBorders>
            <w:shd w:val="clear" w:color="auto" w:fill="E2E4E3"/>
          </w:tcPr>
          <w:p w:rsidR="00050E45" w:rsidRDefault="00976AB1">
            <w:pPr>
              <w:pStyle w:val="TableParagraph"/>
              <w:ind w:right="75"/>
              <w:jc w:val="right"/>
              <w:rPr>
                <w:b/>
                <w:sz w:val="20"/>
              </w:rPr>
            </w:pPr>
            <w:r>
              <w:rPr>
                <w:b/>
                <w:sz w:val="20"/>
              </w:rPr>
              <w:t>November 7</w:t>
            </w:r>
          </w:p>
        </w:tc>
        <w:tc>
          <w:tcPr>
            <w:tcW w:w="2985" w:type="dxa"/>
            <w:tcBorders>
              <w:left w:val="single" w:sz="4" w:space="0" w:color="7F7F7F"/>
            </w:tcBorders>
          </w:tcPr>
          <w:p w:rsidR="00050E45" w:rsidRDefault="0033221A">
            <w:pPr>
              <w:pStyle w:val="TableParagraph"/>
              <w:spacing w:before="79"/>
              <w:ind w:left="91"/>
              <w:rPr>
                <w:sz w:val="20"/>
              </w:rPr>
            </w:pPr>
            <w:r>
              <w:rPr>
                <w:sz w:val="20"/>
              </w:rPr>
              <w:t>The Intel Community</w:t>
            </w:r>
          </w:p>
        </w:tc>
        <w:tc>
          <w:tcPr>
            <w:tcW w:w="4928" w:type="dxa"/>
          </w:tcPr>
          <w:p w:rsidR="00050E45" w:rsidRDefault="0033221A">
            <w:pPr>
              <w:pStyle w:val="TableParagraph"/>
              <w:spacing w:before="79"/>
              <w:ind w:left="89"/>
              <w:rPr>
                <w:sz w:val="20"/>
              </w:rPr>
            </w:pPr>
            <w:r>
              <w:rPr>
                <w:sz w:val="20"/>
              </w:rPr>
              <w:t>(pp. 155-171)</w:t>
            </w:r>
          </w:p>
        </w:tc>
      </w:tr>
      <w:tr w:rsidR="00050E45">
        <w:trPr>
          <w:trHeight w:val="640"/>
        </w:trPr>
        <w:tc>
          <w:tcPr>
            <w:tcW w:w="1443" w:type="dxa"/>
            <w:tcBorders>
              <w:right w:val="single" w:sz="4" w:space="0" w:color="7F7F7F"/>
            </w:tcBorders>
            <w:shd w:val="clear" w:color="auto" w:fill="E2E4E3"/>
          </w:tcPr>
          <w:p w:rsidR="00050E45" w:rsidRDefault="00976AB1">
            <w:pPr>
              <w:pStyle w:val="TableParagraph"/>
              <w:ind w:right="75"/>
              <w:jc w:val="right"/>
              <w:rPr>
                <w:b/>
                <w:sz w:val="20"/>
              </w:rPr>
            </w:pPr>
            <w:r>
              <w:rPr>
                <w:b/>
                <w:sz w:val="20"/>
              </w:rPr>
              <w:t>November 14</w:t>
            </w:r>
          </w:p>
        </w:tc>
        <w:tc>
          <w:tcPr>
            <w:tcW w:w="2985" w:type="dxa"/>
            <w:tcBorders>
              <w:left w:val="single" w:sz="4" w:space="0" w:color="7F7F7F"/>
            </w:tcBorders>
            <w:shd w:val="clear" w:color="auto" w:fill="EEEEEE"/>
          </w:tcPr>
          <w:p w:rsidR="00050E45" w:rsidRDefault="008B406F">
            <w:pPr>
              <w:pStyle w:val="TableParagraph"/>
              <w:spacing w:before="84" w:line="249" w:lineRule="auto"/>
              <w:ind w:left="91"/>
              <w:rPr>
                <w:sz w:val="20"/>
              </w:rPr>
            </w:pPr>
            <w:r>
              <w:rPr>
                <w:sz w:val="20"/>
              </w:rPr>
              <w:t xml:space="preserve">September 11, 2001, </w:t>
            </w:r>
            <w:r w:rsidR="0033221A">
              <w:rPr>
                <w:sz w:val="20"/>
              </w:rPr>
              <w:t>the USA Patriot Act</w:t>
            </w:r>
            <w:r w:rsidR="008E4209">
              <w:rPr>
                <w:sz w:val="20"/>
              </w:rPr>
              <w:t xml:space="preserve">, </w:t>
            </w:r>
            <w:r>
              <w:rPr>
                <w:sz w:val="20"/>
              </w:rPr>
              <w:t xml:space="preserve">USA Freedom Act, </w:t>
            </w:r>
            <w:r w:rsidR="00C16C4B">
              <w:rPr>
                <w:sz w:val="20"/>
              </w:rPr>
              <w:t xml:space="preserve">and </w:t>
            </w:r>
            <w:r>
              <w:rPr>
                <w:sz w:val="20"/>
              </w:rPr>
              <w:t>r</w:t>
            </w:r>
            <w:r w:rsidR="008E4209">
              <w:rPr>
                <w:sz w:val="20"/>
              </w:rPr>
              <w:t>ecent Congressional Action</w:t>
            </w:r>
          </w:p>
        </w:tc>
        <w:tc>
          <w:tcPr>
            <w:tcW w:w="4928" w:type="dxa"/>
            <w:shd w:val="clear" w:color="auto" w:fill="EEEEEE"/>
          </w:tcPr>
          <w:p w:rsidR="00050E45" w:rsidRDefault="0033221A">
            <w:pPr>
              <w:pStyle w:val="TableParagraph"/>
              <w:spacing w:before="84"/>
              <w:ind w:left="89"/>
              <w:rPr>
                <w:sz w:val="20"/>
              </w:rPr>
            </w:pPr>
            <w:r>
              <w:rPr>
                <w:sz w:val="20"/>
              </w:rPr>
              <w:t>(pp. 172-192)</w:t>
            </w:r>
            <w:r w:rsidR="008B406F">
              <w:rPr>
                <w:sz w:val="20"/>
              </w:rPr>
              <w:t xml:space="preserve">. Patriot Act summary. </w:t>
            </w:r>
            <w:hyperlink r:id="rId9" w:history="1">
              <w:r w:rsidR="008B406F" w:rsidRPr="00E30A22">
                <w:rPr>
                  <w:rStyle w:val="Hyperlink"/>
                  <w:sz w:val="20"/>
                </w:rPr>
                <w:t>https://cdt.org/files/security/011031summary.shtml</w:t>
              </w:r>
            </w:hyperlink>
          </w:p>
          <w:p w:rsidR="008B406F" w:rsidRDefault="008B406F">
            <w:pPr>
              <w:pStyle w:val="TableParagraph"/>
              <w:spacing w:before="84"/>
              <w:ind w:left="89"/>
              <w:rPr>
                <w:sz w:val="20"/>
              </w:rPr>
            </w:pPr>
          </w:p>
        </w:tc>
      </w:tr>
      <w:tr w:rsidR="00050E45">
        <w:trPr>
          <w:trHeight w:val="880"/>
        </w:trPr>
        <w:tc>
          <w:tcPr>
            <w:tcW w:w="1443" w:type="dxa"/>
            <w:tcBorders>
              <w:right w:val="single" w:sz="4" w:space="0" w:color="7F7F7F"/>
            </w:tcBorders>
            <w:shd w:val="clear" w:color="auto" w:fill="E2E4E3"/>
          </w:tcPr>
          <w:p w:rsidR="00050E45" w:rsidRDefault="00976AB1">
            <w:pPr>
              <w:pStyle w:val="TableParagraph"/>
              <w:ind w:right="75"/>
              <w:jc w:val="right"/>
              <w:rPr>
                <w:b/>
                <w:sz w:val="20"/>
              </w:rPr>
            </w:pPr>
            <w:r>
              <w:rPr>
                <w:b/>
                <w:sz w:val="20"/>
              </w:rPr>
              <w:t>November 21</w:t>
            </w:r>
          </w:p>
        </w:tc>
        <w:tc>
          <w:tcPr>
            <w:tcW w:w="2985" w:type="dxa"/>
            <w:tcBorders>
              <w:left w:val="single" w:sz="4" w:space="0" w:color="7F7F7F"/>
            </w:tcBorders>
          </w:tcPr>
          <w:p w:rsidR="00050E45" w:rsidRDefault="0033221A">
            <w:pPr>
              <w:pStyle w:val="TableParagraph"/>
              <w:spacing w:before="79"/>
              <w:ind w:left="91"/>
              <w:rPr>
                <w:sz w:val="20"/>
              </w:rPr>
            </w:pPr>
            <w:r>
              <w:rPr>
                <w:sz w:val="20"/>
              </w:rPr>
              <w:t>NSA Surveillance and Review</w:t>
            </w:r>
          </w:p>
        </w:tc>
        <w:tc>
          <w:tcPr>
            <w:tcW w:w="4928" w:type="dxa"/>
          </w:tcPr>
          <w:p w:rsidR="00050E45" w:rsidRDefault="0033221A">
            <w:pPr>
              <w:pStyle w:val="TableParagraph"/>
              <w:spacing w:before="79" w:line="249" w:lineRule="auto"/>
              <w:ind w:left="89" w:right="234"/>
              <w:rPr>
                <w:i/>
                <w:sz w:val="20"/>
              </w:rPr>
            </w:pPr>
            <w:r>
              <w:rPr>
                <w:sz w:val="20"/>
              </w:rPr>
              <w:t xml:space="preserve">(pp. 192-222); </w:t>
            </w:r>
            <w:r>
              <w:rPr>
                <w:i/>
                <w:sz w:val="20"/>
              </w:rPr>
              <w:t>Privacy, Surveillance, and Law</w:t>
            </w:r>
            <w:r>
              <w:rPr>
                <w:sz w:val="20"/>
              </w:rPr>
              <w:t xml:space="preserve">, Richard A. Posner (75 U. Chi. L. Rev. 245, Winter, 2008); </w:t>
            </w:r>
            <w:r>
              <w:rPr>
                <w:i/>
                <w:sz w:val="20"/>
              </w:rPr>
              <w:t>Man Without a Country</w:t>
            </w:r>
          </w:p>
        </w:tc>
      </w:tr>
      <w:tr w:rsidR="00976AB1" w:rsidTr="008E4209">
        <w:trPr>
          <w:trHeight w:val="446"/>
        </w:trPr>
        <w:tc>
          <w:tcPr>
            <w:tcW w:w="1443" w:type="dxa"/>
            <w:tcBorders>
              <w:right w:val="single" w:sz="4" w:space="0" w:color="7F7F7F"/>
            </w:tcBorders>
            <w:shd w:val="clear" w:color="auto" w:fill="E2E4E3"/>
          </w:tcPr>
          <w:p w:rsidR="00976AB1" w:rsidRDefault="00976AB1">
            <w:pPr>
              <w:pStyle w:val="TableParagraph"/>
              <w:ind w:right="75"/>
              <w:jc w:val="right"/>
              <w:rPr>
                <w:b/>
                <w:sz w:val="20"/>
              </w:rPr>
            </w:pPr>
            <w:r>
              <w:rPr>
                <w:b/>
                <w:sz w:val="20"/>
              </w:rPr>
              <w:t>November 28</w:t>
            </w:r>
          </w:p>
        </w:tc>
        <w:tc>
          <w:tcPr>
            <w:tcW w:w="2985" w:type="dxa"/>
            <w:tcBorders>
              <w:left w:val="single" w:sz="4" w:space="0" w:color="7F7F7F"/>
            </w:tcBorders>
            <w:shd w:val="clear" w:color="auto" w:fill="B8CCE4" w:themeFill="accent1" w:themeFillTint="66"/>
          </w:tcPr>
          <w:p w:rsidR="00976AB1" w:rsidRPr="00976AB1" w:rsidRDefault="00976AB1">
            <w:pPr>
              <w:pStyle w:val="TableParagraph"/>
              <w:spacing w:before="79"/>
              <w:ind w:left="91"/>
              <w:rPr>
                <w:b/>
                <w:sz w:val="20"/>
              </w:rPr>
            </w:pPr>
            <w:r w:rsidRPr="00976AB1">
              <w:rPr>
                <w:b/>
                <w:sz w:val="20"/>
              </w:rPr>
              <w:t xml:space="preserve">THANKSGIVING RECESS </w:t>
            </w:r>
          </w:p>
        </w:tc>
        <w:tc>
          <w:tcPr>
            <w:tcW w:w="4928" w:type="dxa"/>
            <w:shd w:val="clear" w:color="auto" w:fill="B8CCE4" w:themeFill="accent1" w:themeFillTint="66"/>
          </w:tcPr>
          <w:p w:rsidR="00976AB1" w:rsidRPr="00976AB1" w:rsidRDefault="00976AB1">
            <w:pPr>
              <w:pStyle w:val="TableParagraph"/>
              <w:spacing w:before="79" w:line="249" w:lineRule="auto"/>
              <w:ind w:left="89" w:right="234"/>
              <w:rPr>
                <w:b/>
                <w:sz w:val="20"/>
              </w:rPr>
            </w:pPr>
            <w:r w:rsidRPr="00976AB1">
              <w:rPr>
                <w:b/>
                <w:sz w:val="20"/>
              </w:rPr>
              <w:t>NO CLASS</w:t>
            </w:r>
          </w:p>
        </w:tc>
      </w:tr>
      <w:tr w:rsidR="00976AB1" w:rsidTr="008E4209">
        <w:trPr>
          <w:trHeight w:val="626"/>
        </w:trPr>
        <w:tc>
          <w:tcPr>
            <w:tcW w:w="1443" w:type="dxa"/>
            <w:tcBorders>
              <w:right w:val="single" w:sz="4" w:space="0" w:color="7F7F7F"/>
            </w:tcBorders>
            <w:shd w:val="clear" w:color="auto" w:fill="E2E4E3"/>
          </w:tcPr>
          <w:p w:rsidR="00976AB1" w:rsidRDefault="00976AB1">
            <w:pPr>
              <w:pStyle w:val="TableParagraph"/>
              <w:ind w:right="75"/>
              <w:jc w:val="right"/>
              <w:rPr>
                <w:b/>
                <w:sz w:val="20"/>
              </w:rPr>
            </w:pPr>
            <w:r>
              <w:rPr>
                <w:b/>
                <w:sz w:val="20"/>
              </w:rPr>
              <w:t>December 5</w:t>
            </w:r>
          </w:p>
        </w:tc>
        <w:tc>
          <w:tcPr>
            <w:tcW w:w="2985" w:type="dxa"/>
            <w:tcBorders>
              <w:left w:val="single" w:sz="4" w:space="0" w:color="7F7F7F"/>
            </w:tcBorders>
          </w:tcPr>
          <w:p w:rsidR="00976AB1" w:rsidRPr="00976AB1" w:rsidRDefault="00976AB1">
            <w:pPr>
              <w:pStyle w:val="TableParagraph"/>
              <w:spacing w:before="79"/>
              <w:ind w:left="91"/>
              <w:rPr>
                <w:b/>
                <w:sz w:val="20"/>
              </w:rPr>
            </w:pPr>
            <w:r>
              <w:rPr>
                <w:b/>
                <w:sz w:val="20"/>
              </w:rPr>
              <w:t>Review/Last Class</w:t>
            </w:r>
          </w:p>
        </w:tc>
        <w:tc>
          <w:tcPr>
            <w:tcW w:w="4928" w:type="dxa"/>
          </w:tcPr>
          <w:p w:rsidR="00976AB1" w:rsidRPr="00976AB1" w:rsidRDefault="00976AB1">
            <w:pPr>
              <w:pStyle w:val="TableParagraph"/>
              <w:spacing w:before="79" w:line="249" w:lineRule="auto"/>
              <w:ind w:left="89" w:right="234"/>
              <w:rPr>
                <w:b/>
                <w:sz w:val="20"/>
              </w:rPr>
            </w:pPr>
          </w:p>
        </w:tc>
      </w:tr>
      <w:tr w:rsidR="00050E45" w:rsidTr="008E4209">
        <w:trPr>
          <w:trHeight w:val="455"/>
        </w:trPr>
        <w:tc>
          <w:tcPr>
            <w:tcW w:w="1443" w:type="dxa"/>
            <w:tcBorders>
              <w:right w:val="single" w:sz="4" w:space="0" w:color="7F7F7F"/>
            </w:tcBorders>
            <w:shd w:val="clear" w:color="auto" w:fill="F79646" w:themeFill="accent6"/>
          </w:tcPr>
          <w:p w:rsidR="00050E45" w:rsidRDefault="008E4209">
            <w:pPr>
              <w:pStyle w:val="TableParagraph"/>
              <w:ind w:right="75"/>
              <w:jc w:val="right"/>
              <w:rPr>
                <w:b/>
                <w:sz w:val="20"/>
              </w:rPr>
            </w:pPr>
            <w:r>
              <w:rPr>
                <w:b/>
                <w:sz w:val="20"/>
              </w:rPr>
              <w:t>January __</w:t>
            </w:r>
          </w:p>
        </w:tc>
        <w:tc>
          <w:tcPr>
            <w:tcW w:w="2985" w:type="dxa"/>
            <w:tcBorders>
              <w:left w:val="single" w:sz="4" w:space="0" w:color="7F7F7F"/>
            </w:tcBorders>
            <w:shd w:val="clear" w:color="auto" w:fill="F79646" w:themeFill="accent6"/>
          </w:tcPr>
          <w:p w:rsidR="00050E45" w:rsidRDefault="00976AB1">
            <w:pPr>
              <w:pStyle w:val="TableParagraph"/>
              <w:spacing w:before="74"/>
              <w:ind w:left="91"/>
              <w:rPr>
                <w:b/>
                <w:sz w:val="20"/>
              </w:rPr>
            </w:pPr>
            <w:r>
              <w:rPr>
                <w:b/>
                <w:sz w:val="20"/>
              </w:rPr>
              <w:t xml:space="preserve">FINAL EXAM </w:t>
            </w:r>
          </w:p>
        </w:tc>
        <w:tc>
          <w:tcPr>
            <w:tcW w:w="4928" w:type="dxa"/>
            <w:shd w:val="clear" w:color="auto" w:fill="F79646" w:themeFill="accent6"/>
          </w:tcPr>
          <w:p w:rsidR="00050E45" w:rsidRDefault="00050E45">
            <w:pPr>
              <w:pStyle w:val="TableParagraph"/>
              <w:spacing w:before="0"/>
              <w:rPr>
                <w:rFonts w:ascii="Times New Roman"/>
                <w:sz w:val="20"/>
              </w:rPr>
            </w:pPr>
          </w:p>
        </w:tc>
      </w:tr>
    </w:tbl>
    <w:p w:rsidR="0033221A" w:rsidRDefault="0033221A" w:rsidP="008E4209"/>
    <w:sectPr w:rsidR="0033221A">
      <w:pgSz w:w="12240" w:h="15840"/>
      <w:pgMar w:top="11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D00CD"/>
    <w:multiLevelType w:val="hybridMultilevel"/>
    <w:tmpl w:val="E9F879B2"/>
    <w:lvl w:ilvl="0" w:tplc="2D66F044">
      <w:numFmt w:val="bullet"/>
      <w:lvlText w:val="•"/>
      <w:lvlJc w:val="left"/>
      <w:pPr>
        <w:ind w:left="860" w:hanging="220"/>
      </w:pPr>
      <w:rPr>
        <w:rFonts w:ascii="Calibri" w:eastAsia="Calibri" w:hAnsi="Calibri" w:cs="Calibri" w:hint="default"/>
        <w:w w:val="80"/>
        <w:position w:val="4"/>
        <w:sz w:val="28"/>
        <w:szCs w:val="28"/>
      </w:rPr>
    </w:lvl>
    <w:lvl w:ilvl="1" w:tplc="2B4ED048">
      <w:numFmt w:val="bullet"/>
      <w:lvlText w:val="•"/>
      <w:lvlJc w:val="left"/>
      <w:pPr>
        <w:ind w:left="1732" w:hanging="220"/>
      </w:pPr>
      <w:rPr>
        <w:rFonts w:hint="default"/>
      </w:rPr>
    </w:lvl>
    <w:lvl w:ilvl="2" w:tplc="004CD7A4">
      <w:numFmt w:val="bullet"/>
      <w:lvlText w:val="•"/>
      <w:lvlJc w:val="left"/>
      <w:pPr>
        <w:ind w:left="2604" w:hanging="220"/>
      </w:pPr>
      <w:rPr>
        <w:rFonts w:hint="default"/>
      </w:rPr>
    </w:lvl>
    <w:lvl w:ilvl="3" w:tplc="38C0678C">
      <w:numFmt w:val="bullet"/>
      <w:lvlText w:val="•"/>
      <w:lvlJc w:val="left"/>
      <w:pPr>
        <w:ind w:left="3476" w:hanging="220"/>
      </w:pPr>
      <w:rPr>
        <w:rFonts w:hint="default"/>
      </w:rPr>
    </w:lvl>
    <w:lvl w:ilvl="4" w:tplc="E22E8548">
      <w:numFmt w:val="bullet"/>
      <w:lvlText w:val="•"/>
      <w:lvlJc w:val="left"/>
      <w:pPr>
        <w:ind w:left="4348" w:hanging="220"/>
      </w:pPr>
      <w:rPr>
        <w:rFonts w:hint="default"/>
      </w:rPr>
    </w:lvl>
    <w:lvl w:ilvl="5" w:tplc="BF164FC8">
      <w:numFmt w:val="bullet"/>
      <w:lvlText w:val="•"/>
      <w:lvlJc w:val="left"/>
      <w:pPr>
        <w:ind w:left="5220" w:hanging="220"/>
      </w:pPr>
      <w:rPr>
        <w:rFonts w:hint="default"/>
      </w:rPr>
    </w:lvl>
    <w:lvl w:ilvl="6" w:tplc="15360C82">
      <w:numFmt w:val="bullet"/>
      <w:lvlText w:val="•"/>
      <w:lvlJc w:val="left"/>
      <w:pPr>
        <w:ind w:left="6092" w:hanging="220"/>
      </w:pPr>
      <w:rPr>
        <w:rFonts w:hint="default"/>
      </w:rPr>
    </w:lvl>
    <w:lvl w:ilvl="7" w:tplc="49BE79D4">
      <w:numFmt w:val="bullet"/>
      <w:lvlText w:val="•"/>
      <w:lvlJc w:val="left"/>
      <w:pPr>
        <w:ind w:left="6964" w:hanging="220"/>
      </w:pPr>
      <w:rPr>
        <w:rFonts w:hint="default"/>
      </w:rPr>
    </w:lvl>
    <w:lvl w:ilvl="8" w:tplc="36EE96B2">
      <w:numFmt w:val="bullet"/>
      <w:lvlText w:val="•"/>
      <w:lvlJc w:val="left"/>
      <w:pPr>
        <w:ind w:left="7836" w:hanging="2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45"/>
    <w:rsid w:val="00050E45"/>
    <w:rsid w:val="00054F0C"/>
    <w:rsid w:val="000E093C"/>
    <w:rsid w:val="00181C10"/>
    <w:rsid w:val="00195E72"/>
    <w:rsid w:val="00304C11"/>
    <w:rsid w:val="0033221A"/>
    <w:rsid w:val="00367EA7"/>
    <w:rsid w:val="0043223A"/>
    <w:rsid w:val="00454513"/>
    <w:rsid w:val="004747BE"/>
    <w:rsid w:val="00527C5C"/>
    <w:rsid w:val="005845DA"/>
    <w:rsid w:val="005852BE"/>
    <w:rsid w:val="005B3166"/>
    <w:rsid w:val="00671BDE"/>
    <w:rsid w:val="00760ADF"/>
    <w:rsid w:val="007B4E52"/>
    <w:rsid w:val="00801B71"/>
    <w:rsid w:val="008B406F"/>
    <w:rsid w:val="008E4209"/>
    <w:rsid w:val="00976AB1"/>
    <w:rsid w:val="00A21E71"/>
    <w:rsid w:val="00AC2F6A"/>
    <w:rsid w:val="00AF1A81"/>
    <w:rsid w:val="00C03E1D"/>
    <w:rsid w:val="00C16C4B"/>
    <w:rsid w:val="00E67D4A"/>
    <w:rsid w:val="00F531BA"/>
    <w:rsid w:val="00FC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7D072-F17A-41C2-846A-3E1AAFB4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line="340"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40" w:lineRule="exact"/>
      <w:ind w:left="860" w:hanging="220"/>
    </w:pPr>
  </w:style>
  <w:style w:type="paragraph" w:customStyle="1" w:styleId="TableParagraph">
    <w:name w:val="Table Paragraph"/>
    <w:basedOn w:val="Normal"/>
    <w:uiPriority w:val="1"/>
    <w:qFormat/>
    <w:pPr>
      <w:spacing w:before="78"/>
    </w:pPr>
    <w:rPr>
      <w:rFonts w:ascii="Arial" w:eastAsia="Arial" w:hAnsi="Arial" w:cs="Arial"/>
    </w:rPr>
  </w:style>
  <w:style w:type="character" w:styleId="Hyperlink">
    <w:name w:val="Hyperlink"/>
    <w:basedOn w:val="DefaultParagraphFont"/>
    <w:uiPriority w:val="99"/>
    <w:unhideWhenUsed/>
    <w:rsid w:val="00304C11"/>
    <w:rPr>
      <w:color w:val="0000FF" w:themeColor="hyperlink"/>
      <w:u w:val="single"/>
    </w:rPr>
  </w:style>
  <w:style w:type="character" w:customStyle="1" w:styleId="UnresolvedMention">
    <w:name w:val="Unresolved Mention"/>
    <w:basedOn w:val="DefaultParagraphFont"/>
    <w:uiPriority w:val="99"/>
    <w:semiHidden/>
    <w:unhideWhenUsed/>
    <w:rsid w:val="00304C11"/>
    <w:rPr>
      <w:color w:val="808080"/>
      <w:shd w:val="clear" w:color="auto" w:fill="E6E6E6"/>
    </w:rPr>
  </w:style>
  <w:style w:type="character" w:styleId="FollowedHyperlink">
    <w:name w:val="FollowedHyperlink"/>
    <w:basedOn w:val="DefaultParagraphFont"/>
    <w:uiPriority w:val="99"/>
    <w:semiHidden/>
    <w:unhideWhenUsed/>
    <w:rsid w:val="00304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wfareblog.com/when-does-carpenter-search-start-and-when-does-it-stop" TargetMode="External"/><Relationship Id="rId3" Type="http://schemas.openxmlformats.org/officeDocument/2006/relationships/settings" Target="settings.xml"/><Relationship Id="rId7" Type="http://schemas.openxmlformats.org/officeDocument/2006/relationships/hyperlink" Target="http://groups.csail.mit.edu/mac/classes/6.805/articles/privacy/Privacy_brand_warr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magazine/2018/06/18/why-do-we-care-so-much-about-privacy" TargetMode="External"/><Relationship Id="rId11" Type="http://schemas.openxmlformats.org/officeDocument/2006/relationships/theme" Target="theme/theme1.xml"/><Relationship Id="rId5" Type="http://schemas.openxmlformats.org/officeDocument/2006/relationships/hyperlink" Target="mailto:skaufma@gm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t.org/files/security/011031summa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1023</Words>
  <Characters>5834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Arvanitis</dc:creator>
  <cp:lastModifiedBy>Yana Arvanitis</cp:lastModifiedBy>
  <cp:revision>2</cp:revision>
  <dcterms:created xsi:type="dcterms:W3CDTF">2019-08-12T12:42:00Z</dcterms:created>
  <dcterms:modified xsi:type="dcterms:W3CDTF">2019-08-12T12:42:00Z</dcterms:modified>
</cp:coreProperties>
</file>